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0" w:name="_GoBack"/>
      <w:bookmarkEnd w:id="0"/>
    </w:p>
    <w:p w:rsidR="00BB1779" w:rsidRPr="000C08B9" w:rsidRDefault="00076135" w:rsidP="001A242E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inline distT="0" distB="0" distL="0" distR="0">
            <wp:extent cx="714375" cy="7239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779" w:rsidRPr="00257778" w:rsidRDefault="00BB1779" w:rsidP="001A242E">
      <w:pPr>
        <w:jc w:val="center"/>
        <w:rPr>
          <w:rFonts w:ascii="Times New Roman" w:hAnsi="Times New Roman"/>
          <w:b/>
          <w:sz w:val="28"/>
          <w:szCs w:val="28"/>
        </w:rPr>
      </w:pPr>
      <w:r w:rsidRPr="00257778">
        <w:rPr>
          <w:rFonts w:ascii="Times New Roman" w:hAnsi="Times New Roman"/>
          <w:b/>
          <w:sz w:val="28"/>
          <w:szCs w:val="28"/>
        </w:rPr>
        <w:t>Tribunale Ordinario di Torino</w:t>
      </w:r>
    </w:p>
    <w:p w:rsidR="00BB1779" w:rsidRDefault="00BB1779" w:rsidP="001A242E">
      <w:pPr>
        <w:shd w:val="clear" w:color="auto" w:fill="FFFFFF"/>
        <w:spacing w:after="64" w:line="360" w:lineRule="atLeast"/>
        <w:jc w:val="center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>================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</w:p>
    <w:p w:rsidR="00BB1779" w:rsidRPr="002D66AC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 w:rsidRPr="002D66AC"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Regione Piemonte - </w:t>
      </w:r>
      <w:r w:rsidRPr="001A242E">
        <w:rPr>
          <w:rFonts w:ascii="Times New Roman" w:hAnsi="Times New Roman"/>
          <w:b/>
          <w:bCs/>
          <w:color w:val="263248"/>
          <w:sz w:val="24"/>
          <w:szCs w:val="24"/>
          <w:lang w:eastAsia="it-IT"/>
        </w:rPr>
        <w:t>Legge regionale 24 febbraio 2016, n. 4</w:t>
      </w:r>
      <w:r w:rsidRPr="002D66AC">
        <w:rPr>
          <w:rFonts w:ascii="Times New Roman" w:hAnsi="Times New Roman"/>
          <w:bCs/>
          <w:color w:val="263248"/>
          <w:sz w:val="24"/>
          <w:szCs w:val="24"/>
          <w:lang w:eastAsia="it-IT"/>
        </w:rPr>
        <w:t>.- "Interventi di prevenzione e contrasto della violenza di genere e per il sostegno alle donne vittime di violenza ed ai loro figli".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(BU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25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Febbraio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2016,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2°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suppl.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8)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</w:p>
    <w:p w:rsidR="00BB1779" w:rsidRPr="00BF4334" w:rsidRDefault="00BB1779" w:rsidP="00030F73">
      <w:pPr>
        <w:shd w:val="clear" w:color="auto" w:fill="FFFFFF"/>
        <w:spacing w:after="64" w:line="360" w:lineRule="atLeast"/>
        <w:jc w:val="center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" w:name="cap1"/>
      <w:bookmarkEnd w:id="1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Capo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I.</w:t>
      </w:r>
    </w:p>
    <w:p w:rsidR="00BB1779" w:rsidRPr="00BF4334" w:rsidRDefault="00BB1779" w:rsidP="00030F73">
      <w:pPr>
        <w:shd w:val="clear" w:color="auto" w:fill="FFFFFF"/>
        <w:spacing w:after="64" w:line="360" w:lineRule="atLeast"/>
        <w:jc w:val="center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Principi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generali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" w:name="art1"/>
      <w:bookmarkEnd w:id="2"/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ab/>
        <w:t>Art.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(Principi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finalità)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3" w:name="art1-com1"/>
      <w:bookmarkEnd w:id="3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coerenza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principi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costituzionali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statutari,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leggi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vigenti,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risoluzioni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dell'Organizzazione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unite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dell'Organizzazione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mondiale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sanità,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risoluzioni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programmi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dell'Unione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europea,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riconosce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ogni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grado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basata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confronti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motivo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orientamento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sessuale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identità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costituisce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diritti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umani,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dignità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libertà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sicurezza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individuale,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lesione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dell'integrità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salute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fisica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psichica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limitazione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diritto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cittadinanza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piena.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4" w:name="art1-com2"/>
      <w:bookmarkEnd w:id="4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inoltre: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5" w:name="art1-com2-leta"/>
      <w:bookmarkEnd w:id="5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condanna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contrasta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ogni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minori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esercitata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ambito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domestico,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ambito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extrafamiliare,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ambito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lavorativo,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compresa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tratta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sfruttamento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minori,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matrimoni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forzati,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pratiche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mutilazione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genitale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femminile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ogni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altra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grado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riferimento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principi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richiamati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5" w:anchor="art1-com1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comma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6" w:name="art1-com2-letb"/>
      <w:bookmarkEnd w:id="6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sostiene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interventi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volti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prevenire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contrastare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ogni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confronti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minori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diretta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assistita;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7" w:name="art1-com2-letc"/>
      <w:bookmarkEnd w:id="7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assicura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misure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protezione,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sostegno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figli,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diretta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assistita;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8" w:name="art1-com2-letd"/>
      <w:bookmarkEnd w:id="8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promuove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cultura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rispetto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diritti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umani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fondamentali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differenze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interventi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mirati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scuole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ogni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ordine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grado.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9" w:name="art1-com3"/>
      <w:bookmarkEnd w:id="9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3.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previste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legge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confronti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realizzate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rispettando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tempi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volontaria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adesione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percorsi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proposti,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lastRenderedPageBreak/>
        <w:t>alcuna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discriminazione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legata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all'identità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all'orientamento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sessuale,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all'età,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all'etnia,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lingua,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religione,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all'orientamento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politico,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condizioni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salute,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disabilità,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condizione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economica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qualunque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altra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condizione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potenzialmente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discriminante.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0" w:name="art2"/>
      <w:bookmarkEnd w:id="10"/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ab/>
        <w:t>Art.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(Definizioni)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1" w:name="art2-com1"/>
      <w:bookmarkEnd w:id="11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legge,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intende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per: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2" w:name="art2-com1-leta"/>
      <w:bookmarkEnd w:id="12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confronti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donne: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diritti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umani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discriminazione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specifica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comprendente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tutti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fondati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provocano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suscettibili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provocare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danni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sofferenze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natura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fisica,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sessuale,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psicologica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economica,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comprese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minacce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compiere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coercizione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privazione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arbitraria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libertà,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pubblica,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privata;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3" w:name="art2-com1-letb"/>
      <w:bookmarkEnd w:id="13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domestica: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tutti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fisica,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sessuale,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psicologica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economica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verificano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all'interno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famiglia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nucleo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familiare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condizioni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assimilate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precedenti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attuali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precedenti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coniugi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partner,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indipendentemente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l'autore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condivida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abbia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condiviso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stessa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residenza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domicilio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vittima;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4" w:name="art2-com1-letc"/>
      <w:bookmarkEnd w:id="14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genere: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ruoli,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comportamenti,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attributi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determinata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società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considera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appropriati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uomini;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5" w:name="art2-com1-letd"/>
      <w:bookmarkEnd w:id="15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basata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genere: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qualsiasi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diretta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colpisce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appartenenti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femminile;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6" w:name="art2-com1-lete"/>
      <w:bookmarkEnd w:id="16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tratta: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reclutamento,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trasporto,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trasferimento,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l'alloggio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l'accoglienza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sfruttamento,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comprende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sfruttamento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prostituzione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altre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sfruttamento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sessuale,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lavoro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forzati;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7" w:name="art2-com1-letf"/>
      <w:bookmarkEnd w:id="17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vittima: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qualsiasi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fisica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subisce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comportamenti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lettere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b);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8" w:name="art2-com1-letg"/>
      <w:bookmarkEnd w:id="18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stalking: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comportamento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intenzionalmente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ripetutamente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minaccioso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confronti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un'altra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portandola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temere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propria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incolumità;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9" w:name="art2-com1-leth"/>
      <w:bookmarkEnd w:id="19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h)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identità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genere: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percezione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propria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identità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sessuale;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0" w:name="art2-com1-leti"/>
      <w:bookmarkEnd w:id="20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orientamento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sessuale: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caratteristica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contribuisce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l'identità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sessuale,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indica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caratteristiche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sessuali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oggetto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attrazione;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1" w:name="art2-com1-letl"/>
      <w:bookmarkEnd w:id="21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assistita: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l'esperienza,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bambino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bambina,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qualsiasi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maltrattamento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compiuto,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attraverso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fisica,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verbale,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psicologica,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sessuale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economica,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figure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riferimento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altre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figure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affettivamente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significative,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adulte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minori.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2" w:name="art2-com2"/>
      <w:bookmarkEnd w:id="22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Nell'ambito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assistita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6" w:anchor="art2-com1-letl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comma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1,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lettera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l)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considerarsi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domestica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minori,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testimoni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all'interno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famiglia.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3" w:name="art3"/>
      <w:bookmarkEnd w:id="23"/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ab/>
        <w:t>Art.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3.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(Competenze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Regione)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4" w:name="art3-com1"/>
      <w:bookmarkEnd w:id="24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nell'ambito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principi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7" w:anchor="art1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: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5" w:name="art3-com1-leta"/>
      <w:bookmarkEnd w:id="25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lastRenderedPageBreak/>
        <w:t>a)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promuove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campagne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sensibilizzazione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informazione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interventi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volti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diffondere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cultura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fondata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dignità,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valorizzazione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rispetto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ambito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educativo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formativo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luoghi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lavoro,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collaborazione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tutte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istituzioni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organizzazioni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interessate;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6" w:name="art3-com1-letb"/>
      <w:bookmarkEnd w:id="26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favorisce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l'integrazione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pubblici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organizzazioni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privato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promuovendo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creazione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governance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adeguate,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attraverso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collaborazione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paritarie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locale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istituzioni,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pubblici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associazioni;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7" w:name="art3-com1-letc"/>
      <w:bookmarkEnd w:id="27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sostiene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tutto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rifugio,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particolare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riferimento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ascolto,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prima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accoglienza,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sostegno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psicologico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interventi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personalizzati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carico,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protezione,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l'eventuale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accoglienza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residenziale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l'avvio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verso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percorsi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autonomia;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8" w:name="art3-com1-letd"/>
      <w:bookmarkEnd w:id="28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promuove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l'aggiornamento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soggetti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esterni,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diverso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titolo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9" w:name="art3-com1-lete"/>
      <w:bookmarkEnd w:id="29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contrasta,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comunicazione,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l'uso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termini,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immagini,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linguaggi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verbali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verbali,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lesivi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dignità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donna;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30" w:name="art3-com1-letf"/>
      <w:bookmarkEnd w:id="30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promuove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all'interno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strutture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soccorso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presidi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ospedalieri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specifiche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équipes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sostegno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31" w:name="art3-com1-letg"/>
      <w:bookmarkEnd w:id="31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sostiene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potenzia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sperimentazione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diffusione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interventi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rivolti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autori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estendendola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tutto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32" w:name="art3-com1-leth"/>
      <w:bookmarkEnd w:id="32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h)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promuove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collegamento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tutti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nazionale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numero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pubblica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utilità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"1522";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33" w:name="art3-com1-leti"/>
      <w:bookmarkEnd w:id="33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promuove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creazione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sistema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rilevazione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monitoraggio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carattere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periodico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seguiti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interventi,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attraverso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l'integrazione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diverse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informative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esistenti;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34" w:name="art3-com1-letl"/>
      <w:bookmarkEnd w:id="34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assicura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verifica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monitoraggio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periodico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formative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svolte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associazioni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organizzazioni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settore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sostegno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dell'aiuto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35" w:name="art3-com1-letm"/>
      <w:bookmarkEnd w:id="35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assicura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patrocinio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maltrattamenti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attraverso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l'istituzione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fondo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solidarietà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8" w:anchor="art22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22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36" w:name="art3-com1-letn"/>
      <w:bookmarkEnd w:id="36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ha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facoltà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costituirsi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civile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procedimenti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penali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femminicidio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fatta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eccezione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procedimenti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penali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relativi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molestie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luoghi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lavoro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costituisce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Consigliera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parità,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devolvendo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l'eventuale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risarcimento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favore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37" w:name="art3-com1-leto"/>
      <w:bookmarkEnd w:id="37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promuove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realizza,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collaborazione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locali,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soggetti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privato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iscritti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registro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associazioni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promozione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9" w:anchor="art6" w:tooltip="Nuova finestra browser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6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della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legge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regionale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7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febbraio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2006,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n.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7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(Disciplina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associazioni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promozione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sociale)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soggetti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svolgono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favore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immigrati,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specifiche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iniziative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monitoraggio,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prevenzione,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contrasto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l'assistenza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motivata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tratta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lastRenderedPageBreak/>
        <w:t>sfruttamento,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matrimoni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forzati,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mutilazioni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genitali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femminili,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orientamento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sessuale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identità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concorso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istituzioni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organizzazioni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scopo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lucro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creare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tutela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bambine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rischio;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38" w:name="art3-com1-letp"/>
      <w:bookmarkEnd w:id="38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promuove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sostegno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verso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bambine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abbandonano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propri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paesi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sfuggire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mutilazioni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genitali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femminili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richiedono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protezione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umanitaria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asilo;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39" w:name="art3-com1-letq"/>
      <w:bookmarkEnd w:id="39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segnala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Difensore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civico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ogni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ascrivibile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previsti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10" w:anchor="art36" w:tooltip="Nuova finestra browser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36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della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legge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5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febbraio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1992,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n.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104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(Legge-quadro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l'assistenza,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l'integrazione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diritti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handicappate),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costituzione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civile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processo.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ab/>
        <w:t>Art.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4.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(Competenze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province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Città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metropolitana)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40" w:name="art4-com1"/>
      <w:bookmarkEnd w:id="40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Nell'ambito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funzioni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fondamentali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11" w:anchor="art1-com85-letf" w:tooltip="Nuova finestra browser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1,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comma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85,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lettera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f)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della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legge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7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aprile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2014,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n.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56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(Disposizioni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città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metropolitane,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province,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fusioni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comuni),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Città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metropolitana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Torino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amministrazioni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provinciali,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funzioni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area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vasta,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promuovono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volte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assicurare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opportunità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competenza,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attraverso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collaborazione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rifugio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enti,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organizzazioni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settore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livello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Difensore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civico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regionale.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41" w:name="art5"/>
      <w:bookmarkEnd w:id="41"/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ab/>
        <w:t>Art.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5.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(Tavolo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coordinamento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permanente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regionale)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42" w:name="art5-com1"/>
      <w:bookmarkEnd w:id="42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Giunta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è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istituito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tavolo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coordinamento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permanente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esperto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sanitario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12" w:anchor="art19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19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sede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confronto,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scambio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informazioni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condivisione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esperienze.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43" w:name="art5-com2"/>
      <w:bookmarkEnd w:id="43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cadenza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almeno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semestrale,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tavolo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coordinamento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prevede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partecipazione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rappresentanti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tutte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istituzioni,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pubblici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privati,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sindacati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confederali,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equipes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multidisciplinari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carico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abuso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maltrattamento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minori,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nonché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associazioni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organizzazioni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privato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settore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contrasto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ogni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44" w:name="art5-com3"/>
      <w:bookmarkEnd w:id="44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3.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struttura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materia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interventi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contrasto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fenomeno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assicura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tavolo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coordinamento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supporto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amministrativo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necessario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garantisce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coordinamento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coinvolgimento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altre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strutture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regionali.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45" w:name="art5-com4"/>
      <w:bookmarkEnd w:id="45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4.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regolamento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13" w:anchor="art25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25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individua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istituzioni,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enti,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organizzazioni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chiamati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tavolo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coordinamento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nonché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organizzative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lavoro.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</w:p>
    <w:p w:rsidR="00BB1779" w:rsidRPr="00BF4334" w:rsidRDefault="00BB1779" w:rsidP="00030F73">
      <w:pPr>
        <w:shd w:val="clear" w:color="auto" w:fill="FFFFFF"/>
        <w:spacing w:after="64" w:line="360" w:lineRule="atLeast"/>
        <w:jc w:val="center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46" w:name="cap2"/>
      <w:bookmarkEnd w:id="46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Capo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II.</w:t>
      </w:r>
    </w:p>
    <w:p w:rsidR="00BB1779" w:rsidRPr="00BF4334" w:rsidRDefault="00BB1779" w:rsidP="00030F73">
      <w:pPr>
        <w:shd w:val="clear" w:color="auto" w:fill="FFFFFF"/>
        <w:spacing w:after="64" w:line="360" w:lineRule="atLeast"/>
        <w:jc w:val="center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Strumenti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47" w:name="art6"/>
      <w:bookmarkEnd w:id="47"/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lastRenderedPageBreak/>
        <w:tab/>
        <w:t>Art.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6.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(Istituzione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antiviolenza)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48" w:name="art6-com1"/>
      <w:bookmarkEnd w:id="48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Città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metropolitana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Torino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ciascuna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provincia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è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istituito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almeno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punto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ascolto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luogo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fisico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accoglienza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sostegno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minorenni,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hanno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subito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trovano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esposte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minaccia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ogni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indipendentemente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luogo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residenza.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49" w:name="art6-com2"/>
      <w:bookmarkEnd w:id="49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promossi: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50" w:name="art6-com2-leta"/>
      <w:bookmarkEnd w:id="50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comuni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gestori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funzioni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socio-assistenziali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14" w:tooltip="Nuova finestra browser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legge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regionale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8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gennaio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2004,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n.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(Norme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realizzazione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sistema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integrato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interventi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riordino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legislazione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riferimento);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51" w:name="art6-com2-letb"/>
      <w:bookmarkEnd w:id="51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associazioni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organizzazioni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settore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sostegno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aiuto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abbiano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maturato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esperienze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competenze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specifiche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materia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utilizzino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metodologia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accoglienza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basata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relazione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dotate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specificatamente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52" w:name="art6-com2-letc"/>
      <w:bookmarkEnd w:id="52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soggetti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lettere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concerto,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intesa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consorziata.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53" w:name="art6-com3"/>
      <w:bookmarkEnd w:id="53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3.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disciplinati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autonomi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regolamenti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interni,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possono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articolarsi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più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sportelli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assicurare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capillare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diffusione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interventi.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54" w:name="art6-com4"/>
      <w:bookmarkEnd w:id="54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4.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caratteri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funzionalità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sicurezza,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accolte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55" w:name="art6-com5"/>
      <w:bookmarkEnd w:id="55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5.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interventi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permanenza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gratuiti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eventuali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minori.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56" w:name="art6-com6"/>
      <w:bookmarkEnd w:id="56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6.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assicurano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raccordo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gestori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funzioni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socio-assistenziali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organismi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pubblici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privati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occupano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problematiche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legge,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tramite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stipula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protocolli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accordi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operativi.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protocolli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stipulati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associazioni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esperte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varie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culture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mutilazioni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genitali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femminili,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garantire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origine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straniera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provenienti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altre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culture.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57" w:name="art6-com7"/>
      <w:bookmarkEnd w:id="57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7.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Ciascun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organizza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propria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sostegno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armonia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principi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legge.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58" w:name="art6-com8"/>
      <w:bookmarkEnd w:id="58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8.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garantire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protezione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reinserimento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interventi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socio-sanitari,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partecipano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interistituzionali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promosse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locali.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L'istituzione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funzionamento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interistituzionali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regolati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appositi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protocolli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accordi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territoriali,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condotti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locali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coinvolgimento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tutti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attori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riferimento,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carattere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provinciale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sovracomunale.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locali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stretto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raccordo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organi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giudiziari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Forze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dell'ordine.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59" w:name="art6-com9"/>
      <w:bookmarkEnd w:id="59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9.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impegna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monitorare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protocolli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accordi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darne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comunicazione,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cadenza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annuale,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Dipartimento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opportunità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Presidenza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Consiglio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Ministri.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60" w:name="art7"/>
      <w:bookmarkEnd w:id="60"/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ab/>
        <w:t>Art.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7.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(Case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rifugio)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61" w:name="art7-com1"/>
      <w:bookmarkEnd w:id="61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rifugio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strutture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dedicate,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indirizzo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segreto,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forniscono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un'accoglienza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sicurezza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subiscono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figli,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titolo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gratuito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indipendentemente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luogo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residenza,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scopo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proteggere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salvaguardarne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l'incolumità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fisica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psichica.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62" w:name="art7-com2"/>
      <w:bookmarkEnd w:id="62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L'inserimento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rifugio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avviene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predisposizione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preliminare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progetto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accoglienza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15" w:anchor="art7-com3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comma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3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esclusione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dell'accesso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diretto.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63" w:name="art7-com3"/>
      <w:bookmarkEnd w:id="63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3.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rifugio,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attraverso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progetto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individuale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accoglienza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ogni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temporanea,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assicurano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sostegno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garantisce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anonimato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segretezza,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all'inserimento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eventuali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figli,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vista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successivo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percorso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autonomia.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64" w:name="art7-com4"/>
      <w:bookmarkEnd w:id="64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4.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rifugio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assicurano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ospiti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alloggio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beni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primari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quotidiana.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65" w:name="art7-com5"/>
      <w:bookmarkEnd w:id="65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5.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rifugio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assicurano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l'accoglienza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ospiti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24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24,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tutto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l'arco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dell'anno.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66" w:name="art7-com6"/>
      <w:bookmarkEnd w:id="66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6.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rifugio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raccordano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attraverso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protocolli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dedicati,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assicurare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supporto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psicologico,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hanno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subito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figli,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nell'ambito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progetto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formulato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insieme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condiviso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sanitari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competenti.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67" w:name="art7-com7"/>
      <w:bookmarkEnd w:id="67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7.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rifugio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assicurano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permanente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coloro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strutture,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conformità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previsto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16" w:anchor="art21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21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68" w:name="art7-com8"/>
      <w:bookmarkEnd w:id="68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8.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sensi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stabilito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17" w:anchor="art5bis-com3" w:tooltip="Nuova finestra browser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5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bis,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comma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3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del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decreto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legge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14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agosto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2013,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n.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93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(Disposizioni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urgenti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materia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sicurezza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contrasto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nonché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protezione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civile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commissariamento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province),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convertito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modificazioni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18" w:tooltip="Nuova finestra browser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legge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15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ottobre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2013,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n.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119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rifugio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promosse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da: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69" w:name="art7-com8-leta"/>
      <w:bookmarkEnd w:id="69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locali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singola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associata;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70" w:name="art7-com8-letb"/>
      <w:bookmarkEnd w:id="70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associazioni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organizzazioni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settore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sostegno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dell'aiuto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abbiano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maturato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esperienza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specifiche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materia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utilizzino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metodologia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accoglienza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basata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relazione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dotate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specificamente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formato;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71" w:name="art7-com8-letc"/>
      <w:bookmarkEnd w:id="71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soggetti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lettere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concerto,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d'intesa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consorziata.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72" w:name="art7-com9"/>
      <w:bookmarkEnd w:id="72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9.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rifugio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corrispondono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civile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abitazione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struttura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comunità,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articolata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locali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idonei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assicurano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un'accoglienza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rispondente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specifiche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esigenze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suoi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figli.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73" w:name="art7-com10"/>
      <w:bookmarkEnd w:id="73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10.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rifugio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soggette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autorizzazione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funzionamento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vigilanza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organismi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secondo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previsto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19" w:tooltip="Nuova finestra browser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l.r.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1/2004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74" w:name="art7-com11"/>
      <w:bookmarkEnd w:id="74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11.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rifugio,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possono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essere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titolari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soggetti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20" w:anchor="art7-com8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comma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8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lettere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a),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c),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gestite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diretta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tramite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affidamento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soggetti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terzi.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quest'ultimo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l'affidamento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gestione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rifugio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titolarità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pubblica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avvenire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conformità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normativa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vigente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materia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appalti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pubblici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affidamento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terzi.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75" w:name="art7-com12"/>
      <w:bookmarkEnd w:id="75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12.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organismi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21" w:anchor="art7-com8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comma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8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mettono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adeguati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accorgimenti,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procedurale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autorizzativa,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scopo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salvaguardare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necessaria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riservatezza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merito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all'istituzione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collocazione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rifugio.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ab/>
        <w:t>Art.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8.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(Istituzione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dell'albo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rifugio)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76" w:name="art8-com1"/>
      <w:bookmarkEnd w:id="76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garantire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un'adeguata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aggiornata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conoscenza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rispondenti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principi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legge,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è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istituito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l'albo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rifugio,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suddiviso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due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rispettive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sezioni.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77" w:name="art8-com2"/>
      <w:bookmarkEnd w:id="77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l'iscrizione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nell'albo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tenuti,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cumulativo: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78" w:name="art8-com2-leta"/>
      <w:bookmarkEnd w:id="78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avere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sede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Piemonte;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79" w:name="art8-com2-letb"/>
      <w:bookmarkEnd w:id="79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essere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istituiti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organizzazioni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22" w:anchor="art6-com2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6,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comma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80" w:name="art8-com2-letc"/>
      <w:bookmarkEnd w:id="80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essere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possesso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requisiti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23" w:anchor="art6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6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81" w:name="art8-com3"/>
      <w:bookmarkEnd w:id="81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3.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l'iscrizione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nell'albo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rifugio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tenute,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cumulativo: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82" w:name="art8-com3-leta"/>
      <w:bookmarkEnd w:id="82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avere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sede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Piemonte;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83" w:name="art8-com3-letb"/>
      <w:bookmarkEnd w:id="83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essere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istituite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organizzazioni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24" w:anchor="art7-com8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7,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comma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8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84" w:name="art8-com3-letc"/>
      <w:bookmarkEnd w:id="84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essere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possesso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autorizzazione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funzionamento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rilasciata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organismi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secondo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previsto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25" w:tooltip="Nuova finestra browser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l.r.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1/2004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85" w:name="art8-com3-letd"/>
      <w:bookmarkEnd w:id="85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essere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possesso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requisiti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26" w:anchor="art7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7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86" w:name="art8-com4"/>
      <w:bookmarkEnd w:id="86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4.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perdita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requisiti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commi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3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comporta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cancellazione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dall'albo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87" w:name="art8-com5"/>
      <w:bookmarkEnd w:id="87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5.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Nell'albo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devono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risultare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l'organizzazione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titolare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sede,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l'ambito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attività.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Nell'albo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sono,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altresì,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iscritti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trasferimenti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sede.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88" w:name="art8-com6"/>
      <w:bookmarkEnd w:id="88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6.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Onde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salvaguardare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necessaria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riservatezza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merito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collocazione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rifugio,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nell'albo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risultare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esclusivamente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l'organizzazione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titolare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ciascuna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casa.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89" w:name="art8-com7"/>
      <w:bookmarkEnd w:id="89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7.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L'iscrizione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nell'albo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è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condizione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accedere,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rifugio,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all'assegnazione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contributi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statali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previsti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vigenti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normative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settore.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90" w:name="art8-com8"/>
      <w:bookmarkEnd w:id="90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8.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L'albo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è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pubblicato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cadenza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annuale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Bollettino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ufficiale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Piemonte.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</w:p>
    <w:p w:rsidR="00BB1779" w:rsidRPr="00BF4334" w:rsidRDefault="00BB1779" w:rsidP="00030F73">
      <w:pPr>
        <w:shd w:val="clear" w:color="auto" w:fill="FFFFFF"/>
        <w:spacing w:after="64" w:line="360" w:lineRule="atLeast"/>
        <w:jc w:val="center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91" w:name="cap3"/>
      <w:bookmarkEnd w:id="91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Capo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III.</w:t>
      </w:r>
    </w:p>
    <w:p w:rsidR="00BB1779" w:rsidRPr="00BF4334" w:rsidRDefault="00BB1779" w:rsidP="00030F73">
      <w:pPr>
        <w:shd w:val="clear" w:color="auto" w:fill="FFFFFF"/>
        <w:spacing w:after="64" w:line="360" w:lineRule="atLeast"/>
        <w:jc w:val="center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azioni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92" w:name="art9"/>
      <w:bookmarkEnd w:id="92"/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ab/>
        <w:t>Art.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9.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sensibilizzazione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prevenzione)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93" w:name="art9-com1"/>
      <w:bookmarkEnd w:id="93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coinvolgimento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organismi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istituzionali,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soggetti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gestori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funzioni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socio-assistenziale,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soggetti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legge,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nonché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mezzi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informazione: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94" w:name="art9-com1-leta"/>
      <w:bookmarkEnd w:id="94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promuove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sostiene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campagne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iniziative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finalizzate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diffusione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cultura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legalità,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rispetto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diritti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uomini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95" w:name="art9-com1-letb"/>
      <w:bookmarkEnd w:id="95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promuove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sostiene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campagne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iniziative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sensibilizzazione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diffondere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consapevolezza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comprensione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dell'opinione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pubblica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varie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oggetto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legge;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96" w:name="art9-com1-letc"/>
      <w:bookmarkEnd w:id="96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promuove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l'assunzione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condivisione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responsabilità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tutti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membri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società,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particolar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uomini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ragazzi,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contribuire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attivamente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prevenzione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ogni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oggetto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legge.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97" w:name="art10"/>
      <w:bookmarkEnd w:id="97"/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ab/>
        <w:t>Art.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10.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nell'ambito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lavoro,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sistema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scolastico,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educativo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tempo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libero)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98" w:name="art10-com1"/>
      <w:bookmarkEnd w:id="98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coinvolgimento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organismi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istituzionali,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locali,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dell'Ufficio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scolastico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Difensore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civico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soggetti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legge,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nonché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mezzi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informazione: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99" w:name="art10-com1-leta"/>
      <w:bookmarkEnd w:id="99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promuove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sostiene,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ambito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lavorativo,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sistema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scolastico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formativo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luoghi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istruzione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nonché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aggregativi,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sportivi,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culturali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svago,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iniziative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sensibilizzazione,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mediante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incontri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informativi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campagne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prevenzione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mirate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ragazzi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ragazze,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uomini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diverse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fasce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d'età,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temi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dell'affettività,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relazione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improntata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reciproco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rispetto,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soluzione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conflitti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interpersonali,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uomini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ruoli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stereotipati,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contrasto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particolare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attenzione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domestica,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diritto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all'integrità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personale;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00" w:name="art10-com1-letb"/>
      <w:bookmarkEnd w:id="100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promuove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sostiene,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collaborazione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forze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polizia,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iniziative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finalizzate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sostenere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capacità,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competenze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strumenti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disposizione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ragazzi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ragazze,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genitori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insegnanti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affrontare,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contesto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dell'informazione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comunicazione,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l'accesso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contenuti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degradanti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carattere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sessuale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violento,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potenzialmente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pericolosi,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compreso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l'utilizzo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nuove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tecnologie,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mezzi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comunicazione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network;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01" w:name="art10-com1-letc"/>
      <w:bookmarkEnd w:id="101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promuove,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settore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comunicazione,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media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new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media,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campagne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informative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sensibilizzazione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popolazione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operatori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settore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volte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proporre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immagini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maschili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femminili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stereotipate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modelli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positivi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relazioni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uomo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donna.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02" w:name="art11"/>
      <w:bookmarkEnd w:id="102"/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ab/>
        <w:t>Art.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11.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contrasto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discriminazione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dell'immagine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femminile)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03" w:name="art11-com1"/>
      <w:bookmarkEnd w:id="103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nell'ambito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politiche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promuove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responsabile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tutti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strumenti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comunicazione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affinché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messaggi,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qualunque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mezzo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espressi,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discriminatori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degradanti,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basati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stereotipi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compresi,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decodificati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superati.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04" w:name="art11-com2"/>
      <w:bookmarkEnd w:id="104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27" w:anchor="art11-com1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comma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collaborazione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Comitato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Comunicazioni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Piemonte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(CORECOM)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favorisce,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competenza,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dirette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contrastare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discriminazione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dell'immagine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femminile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pubblicità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mezzi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informazione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comunicazione,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volte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favorire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rappresentazione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coerente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l'evoluzione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ruoli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società,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superando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stereotipi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pieno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rispetto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dignità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femminile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parità.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05" w:name="art11-com3"/>
      <w:bookmarkEnd w:id="105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3.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struttura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opportunità,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collaborazione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esperti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settore,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scuole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università,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promuove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utili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contrasto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stereotipi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mediante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l'assegnazione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riconoscimento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annuale,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denaro,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pubblicità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meglio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ha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saputo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rappresentare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figura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femminile.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06" w:name="art11-com4"/>
      <w:bookmarkEnd w:id="106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4.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utilizzo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offensivo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discriminatorio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dell'immagine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CORECOM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segnalare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soggetti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comportamenti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conformi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codici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autodisciplina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comunicazione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commerciale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soggetti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aderenti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codici.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07" w:name="art11-com5"/>
      <w:bookmarkEnd w:id="107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5.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28" w:anchor="art11-com1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comma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CORECOM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promuovono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collaborazioni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con: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08" w:name="art11-com5-leta"/>
      <w:bookmarkEnd w:id="108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amministrazioni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statali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locali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competenti;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09" w:name="art11-com5-letb"/>
      <w:bookmarkEnd w:id="109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l'Autorità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Garante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Concorrenza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Mercato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(AGCM);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10" w:name="art11-com5-letc"/>
      <w:bookmarkEnd w:id="110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l'Autorità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Garanzie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Comunicazioni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(AGCOM);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11" w:name="art11-com5-letd"/>
      <w:bookmarkEnd w:id="111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l'Ordine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giornalisti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Piemonte;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12" w:name="art11-com5-lete"/>
      <w:bookmarkEnd w:id="112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operatori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settore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comunicazione,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pubblicità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marketing,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mass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media,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network,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singola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associata.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13" w:name="art12"/>
      <w:bookmarkEnd w:id="113"/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ab/>
        <w:t>Art.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12.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(Attività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informazione)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14" w:name="art12-com1"/>
      <w:bookmarkEnd w:id="114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coinvolgimento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organismi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istituzionali,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locali,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soggetti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gestori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funzioni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socio-assistenziali,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Difensore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civico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soggetti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legge,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nonché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mezzi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informazione: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15" w:name="art12-com1-leta"/>
      <w:bookmarkEnd w:id="115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promuove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più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ampia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conoscenza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l'opinione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pubblica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legge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mediante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specifiche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campagne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informative;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16" w:name="art12-com1-letb"/>
      <w:bookmarkEnd w:id="116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adotta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misure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consentono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ottenere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un'informazione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adeguata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tempestiva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sostegno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misure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disponibili.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</w:p>
    <w:p w:rsidR="00BB1779" w:rsidRPr="00BF4334" w:rsidRDefault="00BB1779" w:rsidP="00030F73">
      <w:pPr>
        <w:shd w:val="clear" w:color="auto" w:fill="FFFFFF"/>
        <w:spacing w:after="64" w:line="360" w:lineRule="atLeast"/>
        <w:jc w:val="center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17" w:name="cap4"/>
      <w:bookmarkEnd w:id="117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Capo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IV.</w:t>
      </w:r>
    </w:p>
    <w:p w:rsidR="00BB1779" w:rsidRPr="00BF4334" w:rsidRDefault="00BB1779" w:rsidP="00030F73">
      <w:pPr>
        <w:shd w:val="clear" w:color="auto" w:fill="FFFFFF"/>
        <w:spacing w:after="64" w:line="360" w:lineRule="atLeast"/>
        <w:jc w:val="center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Interventi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18" w:name="art13"/>
      <w:bookmarkEnd w:id="118"/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ab/>
        <w:t>Art.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13.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(Accoglienza,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sostegno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percorsi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l'autonomia)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19" w:name="art13-com1"/>
      <w:bookmarkEnd w:id="119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garantire,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attraverso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finanziamenti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mirati,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figli,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minori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diversamente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abili,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accoglienza,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tutela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sostegno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consentire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loro,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rispetto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riservatezza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dell'anonimato,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recuperare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propria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autonomia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indipendenza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economica,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indipendentemente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residenza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tenuto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specificità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straniere,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ivi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comprese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eventuali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problematiche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connesse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titolo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soggiorno.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20" w:name="art13-com2"/>
      <w:bookmarkEnd w:id="120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ogni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richiesta,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è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predisposto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percorso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psicologico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condiviso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personalizzato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sostegno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orientamento,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modulato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caratteristiche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personali.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21" w:name="art13-com3"/>
      <w:bookmarkEnd w:id="121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3.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percorso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29" w:anchor="art13-com2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comma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è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formulato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nell'ambito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progetto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principali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interlocutori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referenti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territoriali.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22" w:name="art13-com4"/>
      <w:bookmarkEnd w:id="122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4.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progetto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30" w:anchor="art13-com3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comma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3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è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finalizzato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favorire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l'uscita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destinatario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situazione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difficoltà,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nuovi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progetti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mediante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recupero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rafforzamento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proprie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risorse,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secondo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tempi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ritenuti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necessari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acquisizione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riacquisizione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dell'autonomia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dell'indipendenza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economica,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mediante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sostegno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progetti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accompagnamento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all'inserimento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lavorativo.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progetti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offrono,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inoltre,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serie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ampia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motivazione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empowerment,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tecniche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strumenti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favorire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recupero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consapevolezza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proprie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capacità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competenze.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23" w:name="art13-com5"/>
      <w:bookmarkEnd w:id="123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5.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progetti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inclusione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inserimento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lavorativo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sostenuti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orientativa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lavoro,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mediante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necessaria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tutoraggio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tirocini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laboratori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professionalizzanti,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articolati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modulati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favorire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capacità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destinatarie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poter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sostenere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positivamente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l'inserimento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lavorativo,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considerando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esigenze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conciliazione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l'attività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lavorativa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compiti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cura,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nonché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specifiche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competenze,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esistenti,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esperienze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pregresse.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24" w:name="art14"/>
      <w:bookmarkEnd w:id="124"/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ab/>
        <w:t>Art.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14.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assistita)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25" w:name="art14-com1"/>
      <w:bookmarkEnd w:id="125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salvi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obblighi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previsti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31" w:anchor="art9" w:tooltip="Nuova finestra browser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9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della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legge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4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maggio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1983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n.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184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(Diritto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minore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famiglia)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merito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segnalazione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minori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presunto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stato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abbandono,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socio-assistenziali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sanitari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l'ambito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materno-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infantile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l'ambito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adulti,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collaborazione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interistituzionali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promosse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locali,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assicurano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tutti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interventi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favore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minori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testimoni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all'interno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famiglia,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richiamato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32" w:anchor="art2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26" w:name="art14-com2"/>
      <w:bookmarkEnd w:id="126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33" w:anchor="art14-com1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comma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particolare: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27" w:name="art14-com2-leta"/>
      <w:bookmarkEnd w:id="127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assicurano,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prioritaria,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protezione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minore,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attraverso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coinvolgimento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autorità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giudiziaria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l'assunzione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eventuali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provvedimenti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tutela.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necessità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tutela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protezione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minore,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esigenze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considerarsi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prevalenti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rispetto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all'eventuale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contraria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volontà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dell'adulto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esercente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responsabilità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genitoriale;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28" w:name="art14-com2-letb"/>
      <w:bookmarkEnd w:id="128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assicurano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interventi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finalizzati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minore,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riparazione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trauma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subito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ripristino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salute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fisica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psicologica,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mediante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salvo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diversa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indicazione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clinica,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vedono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coinvolgimento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madre;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29" w:name="art14-com2-letc"/>
      <w:bookmarkEnd w:id="129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assicurano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interventi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confronti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madre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qualora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praticabili,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interventi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livello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relazioni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familiari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allargate,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finalizzate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prioritariamente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sostegno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relazione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madre-bambino;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30" w:name="art14-com2-letd"/>
      <w:bookmarkEnd w:id="130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assicurano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idonei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percorsi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assistenza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sostegno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figli,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uscita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struttura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residenziale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successiva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rientro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proprio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ambiente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vita;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31" w:name="art14-com2-lete"/>
      <w:bookmarkEnd w:id="131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assicurano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l'inserimento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reinserimento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bambino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ambiente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garantisca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protezione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riproporsi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eventi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traumatici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figure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accudenti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tutelanti;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32" w:name="art14-com2-letf"/>
      <w:bookmarkEnd w:id="132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assicurano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continuità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collaborazione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interistituzionali,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altre,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l'ambito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scolastico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educativi.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assicurare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continuità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l'efficacia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collaborazioni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attivate,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istituzioni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scolastiche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possono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definire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appositi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protocolli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operativi,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volti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tempestivo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intervento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tutela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minore.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33" w:name="art15"/>
      <w:bookmarkEnd w:id="133"/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ab/>
        <w:t>Art.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15.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(Interventi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prevenzione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fenomeni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tratta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riduzione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schiavitù)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34" w:name="art15-com1"/>
      <w:bookmarkEnd w:id="134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fermo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restando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disposto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34" w:tooltip="Nuova finestra browser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decreto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legislativo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4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marzo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2014,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n.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24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(Attuazione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direttiva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2011/36/UE,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relativa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prevenzione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repressione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tratta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esseri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umani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protezione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sostituisce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decisione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quadro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2002/629/GAI):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35" w:name="art15-com1-leta"/>
      <w:bookmarkEnd w:id="135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promuove,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collaborazione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locali,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attuazione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35" w:anchor="art3-com1-leto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3,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comma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1,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lettera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o)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realizzazione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programmi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protezione,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assistenza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integrazione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rivolti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motivata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sfruttamento;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36" w:name="art15-com1-letb"/>
      <w:bookmarkEnd w:id="136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sostiene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locali,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soggetti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privato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iscritti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registro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associazioni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36" w:anchor="art6" w:tooltip="Nuova finestra browser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6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della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l.r.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7/2006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soggetti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svolgono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favore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immigrati,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realizzazione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programmi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individuali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prima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assistenza,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protezione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integrazione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secondo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previsto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37" w:anchor="art13" w:tooltip="Nuova finestra browser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13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della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legge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11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agosto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2003,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n.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228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(Misure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tratta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persone)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38" w:anchor="art18" w:tooltip="Nuova finestra browser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18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del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decreto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legislativo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25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luglio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1998,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n.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286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(Testo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disposizioni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concernenti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disciplina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dell'immigrazione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norme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condizione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straniero)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realizzazione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prevenzione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socio-sanitaria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tutela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salute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individuale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pubblica,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diretti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conoscenza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monitoraggio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fenomeno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mediante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appositi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database.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37" w:name="art15-com2"/>
      <w:bookmarkEnd w:id="137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sviluppo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programmi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39" w:anchor="art15-com1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comma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rivolge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particolare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attenzione,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interventi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specifici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l'apporto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professionalità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adeguate,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carico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minore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età.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38" w:name="art15-com3"/>
      <w:bookmarkEnd w:id="138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3.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promuove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sostiene,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oltre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programmi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assistenza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40" w:anchor="art15-com1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comma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volte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all'emersione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contrasto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fenomeno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tratta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riduzione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schiavitù,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coinvolgimento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forze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dell'ordine,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questure,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tribunali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soggetti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interessati,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secondo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rispettive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specifiche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competenze.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ab/>
        <w:t>Art.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16.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(Interventi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prevenzione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fenomeno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mutilazioni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genitali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femminili)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39" w:name="art16-com1"/>
      <w:bookmarkEnd w:id="139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fermo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restando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disposto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41" w:tooltip="Nuova finestra browser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legge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9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gennaio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2006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n.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7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(Disposizioni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concernenti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prevenzione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divieto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pratiche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mutilazione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genitale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femminile):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40" w:name="art16-com1-leta"/>
      <w:bookmarkEnd w:id="140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promuove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iniziative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sensibilizzazione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42" w:anchor="art3-com1-letp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3,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comma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1,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lettera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p)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partecipazione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organizzazioni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volontariato,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associazioni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profit,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strutture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sanitarie,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comunità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immigrati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provenienti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praticate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mutilazioni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genitali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femminili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sviluppare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l'integrazione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socio-culturale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rispetto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diritti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fondamentali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particolare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bambine;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41" w:name="art16-com1-letb"/>
      <w:bookmarkEnd w:id="141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promuove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collaborazione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l'Ufficio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scolastico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organizzare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corsi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informazione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insegnanti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scuole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dell'obbligo,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avvalendosi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figure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riconosciuta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esperienza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campo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mediazione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culturale,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coinvolgimento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genitori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bambine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bambini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immigrati,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diffondere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classe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conoscenza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diritti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bambine;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42" w:name="art16-com1-letc"/>
      <w:bookmarkEnd w:id="142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promuove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strutture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sanitarie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sociali,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monitoraggio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rilevati.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43" w:name="art17"/>
      <w:bookmarkEnd w:id="143"/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ab/>
        <w:t>Art.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17.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sanitaria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violenza)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44" w:name="art17-com1"/>
      <w:bookmarkEnd w:id="144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sanitaria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costituisce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complessiva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sanitaria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è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strettamente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interconnessa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deputati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carico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collabora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attivamente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associazioni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volontariato,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comprende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dell'emergenza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118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livello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ospedaliero,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Dipartimento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d'Emergenza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Accettazione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(DEA)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livello,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nonché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dell'assistenza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sanitaria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costituita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medico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medicina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pediatrico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libera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scelta,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continuità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assistenziale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consultori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specializzato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settore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sanitario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territorio.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45" w:name="art17-com2"/>
      <w:bookmarkEnd w:id="145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composizione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sanitaria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può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essere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successivamente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implementata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apposito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provvedimento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garantirne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buon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funzionamento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livello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territoriale.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46" w:name="art17-com3"/>
      <w:bookmarkEnd w:id="146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3.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sanitaria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attraverso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consultori,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medico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dell'assistenza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specialistica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continuità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assistenziale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sospetto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diagnostico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luce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evidenze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cliniche,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attraverso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l'accesso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emergenza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43" w:anchor="art17-com1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comma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47" w:name="art17-com4"/>
      <w:bookmarkEnd w:id="147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4.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sanitaria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accesso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diretto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invio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organismi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48" w:name="art17-com5"/>
      <w:bookmarkEnd w:id="148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5.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consultori,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medico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dell'assistenza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specialistica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continuità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assistenziale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emergenza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118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rivolge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hanno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evidenza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domestica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sessuale,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garantiscono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carico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attraverso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l'invio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all'equipe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multiprofessionale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44" w:anchor="art18-com3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18,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comma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3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49" w:name="art17-com6"/>
      <w:bookmarkEnd w:id="149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6.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consultori,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medico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dell'assistenza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specialistica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continuità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assistenziale,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medico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sanitari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livello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emergenza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118,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elementi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inducono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sospetto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situazione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possono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rivolgersi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consulenza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all'equipe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multiprofessionale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45" w:anchor="art18-com3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18,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comma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3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50" w:name="art17-com7"/>
      <w:bookmarkEnd w:id="150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7.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dell'emergenza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118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soccorrere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necessita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ricovero,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provvede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all'invio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DEA.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51" w:name="art17-com8"/>
      <w:bookmarkEnd w:id="151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8.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richiede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mediche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abbia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sè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minori,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sanitari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raccordano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immediatamente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competenti,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assicurare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adeguate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tutela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minori,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attraverso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inserimento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emergenza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struttura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accoglienza.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52" w:name="art17-com9"/>
      <w:bookmarkEnd w:id="152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9.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garantita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l'esenzione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ticket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sanitario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tutte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prestazioni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conseguenti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sessuale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domestica.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53" w:name="art18"/>
      <w:bookmarkEnd w:id="153"/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ab/>
        <w:t>Art.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18.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(Istituzione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codice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rosa)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54" w:name="art18-com1"/>
      <w:bookmarkEnd w:id="154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livello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emergenza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118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codice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rosa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codice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aggiuntivo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codice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gravità,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visibile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operatori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sanitari.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55" w:name="art18-com2"/>
      <w:bookmarkEnd w:id="155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L'attribuzione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codice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rosa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rende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operativa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l'equipe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multiprofessionale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46" w:anchor="art18-com3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comma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3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avvia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percorso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rosa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spetta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prendere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carico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vittima.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56" w:name="art18-com3"/>
      <w:bookmarkEnd w:id="156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3.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L'equipe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multiprofessionale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è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ginecologa,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pediatra,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ostetrica,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psicologa,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assistente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infermiera,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sanitario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ruolo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medico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infermieristico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altre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figure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ritenute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utili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carico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garantisce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reperibilità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24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24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almeno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operatore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competenze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nell'attivazione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immediata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tutela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proprio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riferimento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particolare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competenti.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57" w:name="art18-com4"/>
      <w:bookmarkEnd w:id="157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4.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ospedali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privi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livello,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sospetto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operatori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applicano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protocolli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carico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codice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rosa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47" w:anchor="art18-com1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comma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;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privi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competenze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locali,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richiedono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l'intervento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dell'equipe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multiprofessionale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territorialmente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più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vicina,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appartenente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all'Azienda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Sanitaria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Locale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(ASL)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riferimento,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spetta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prendere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carico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vittima.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58" w:name="art19"/>
      <w:bookmarkEnd w:id="158"/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ab/>
        <w:t>Art.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19.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esperto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sanitario)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59" w:name="art19-com1"/>
      <w:bookmarkEnd w:id="159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sessuale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gravi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episodi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domestica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è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istituito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esperto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sanitario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funzioni,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oltre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carico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rivolgono,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supporto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specialisti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specialiste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altre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aziende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sanitarie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coordinamento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sanitaria,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sussidiaria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aziende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sanitarie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nell'assistenza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pazienti,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specifica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settore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sanitario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60" w:name="art19-com2"/>
      <w:bookmarkEnd w:id="160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esperto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sanitario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è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organizzato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secondo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modello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interdisciplinare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multiprofessionale,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coinvolge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figure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professionali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necessarie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carico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specializzate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settori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ginecologia,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pediatria,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psicologia,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infermieristica,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medicina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infermieristica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altre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figure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ritenute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utili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carico.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61" w:name="art20"/>
      <w:bookmarkEnd w:id="161"/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ab/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Art.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20.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(Interventi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rivolti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autori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genere)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62" w:name="art20-com1"/>
      <w:bookmarkEnd w:id="162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coinvolgimento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organismi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istituzionali,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soggetti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privato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legge,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promuove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sostiene,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comprese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carceri,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realizzazione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appositi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interventi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recupero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accompagnamento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rivolti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autori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soprattutto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domestica,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limitare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recidiva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favorendo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l'adozione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comportamenti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relazioni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interpersonali.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63" w:name="art20-com2"/>
      <w:bookmarkEnd w:id="163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interventi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48" w:anchor="art20-com1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comma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possono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essere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carattere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psicologico,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socio-educativo,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relazionale,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culturale,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psicoterapeutico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psichiatrico.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64" w:name="art20-com3"/>
      <w:bookmarkEnd w:id="164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3.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interventi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realizzati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condizione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prioritariamente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garantiti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sicurezza,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supporto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diritti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umani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stabiliti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attuati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stretto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coordinamento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escludendo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l'applicazione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qualsiasi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tecnica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mediazione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l'autore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assicurando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separatezza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due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percorsi.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65" w:name="art20-com4"/>
      <w:bookmarkEnd w:id="165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4.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interventi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possono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essere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realizzati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adesione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volontaria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soggetto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interessato,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fatta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salva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l'acquisizione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autorizzazioni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dell'autorità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giudiziaria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procedente,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qualora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previste.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66" w:name="art21"/>
      <w:bookmarkEnd w:id="166"/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ab/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Art.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21.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(Formazione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operatrici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operatori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standard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formativi)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67" w:name="art21-com1"/>
      <w:bookmarkEnd w:id="167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propone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promuove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l'organizzazione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corsi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rivolti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pubblici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intervengono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ambito,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operatori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sociali,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sanitari,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scolastici,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volontari,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tutor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forze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dell'ordine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assicurare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competenze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specifiche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fenomeno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favorire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efficace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carico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primo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contatto,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all'accoglienza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all'accompagnamento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ogni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percorso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uscita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situazione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ha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caratteristiche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multidisciplinarietà,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competenza,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coerenza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capillarità,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nonché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certificazione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competenze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acquisite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corsisti.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68" w:name="art21-com2"/>
      <w:bookmarkEnd w:id="168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valorizza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pratiche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accoglienza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basate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relazioni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attribuisce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operatrici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possesso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comprovata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esperienza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materia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ruolo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preferenziale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nell'azione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sostegno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69" w:name="art21-com3"/>
      <w:bookmarkEnd w:id="169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3.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mette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disposizione,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nell'ambito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dell'offerta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formativa,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specifici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profili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percorsi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formativi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standard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materia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prevenzione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contrasto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l'operatività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garantire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aggiornamento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operatori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omogeneo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tutto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certificazione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competenze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acquisite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sensi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49" w:tooltip="Nuova finestra browser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decreto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legislativo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16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gennaio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2013,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n.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13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(Definizione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norme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livelli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essenziali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prestazioni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l'individuazione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validazione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apprendimenti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informali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standard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minimi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sistema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nazionale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certificazione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competenze,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norma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50" w:anchor="art4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4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commi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58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68,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51" w:tooltip="Nuova finestra browser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legge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28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giugno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2012,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n.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92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).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70" w:name="art21-com4"/>
      <w:bookmarkEnd w:id="170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4.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promuove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l'aggiornamento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operatori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sociali,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sanitari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forze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dell'ordine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trovano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contatto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autori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violenza.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71" w:name="art21-com5"/>
      <w:bookmarkEnd w:id="171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5.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promuove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aggiornamento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tematiche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oggetto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legge,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rivolte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dedicati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lavoro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professionale,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coinvolgendo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organizzazioni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datoriali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sindacali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agenzie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formative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ordini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professionali.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</w:p>
    <w:p w:rsidR="00BB1779" w:rsidRPr="00BF4334" w:rsidRDefault="00BB1779" w:rsidP="00BF4334">
      <w:pPr>
        <w:shd w:val="clear" w:color="auto" w:fill="FFFFFF"/>
        <w:spacing w:after="64" w:line="360" w:lineRule="atLeast"/>
        <w:jc w:val="center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72" w:name="cap5"/>
      <w:bookmarkEnd w:id="172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Capo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V.</w:t>
      </w:r>
    </w:p>
    <w:p w:rsidR="00BB1779" w:rsidRPr="00BF4334" w:rsidRDefault="00BB1779" w:rsidP="00BF4334">
      <w:pPr>
        <w:shd w:val="clear" w:color="auto" w:fill="FFFFFF"/>
        <w:spacing w:after="64" w:line="360" w:lineRule="atLeast"/>
        <w:jc w:val="center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Programmazione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73" w:name="art22"/>
      <w:bookmarkEnd w:id="173"/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ab/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Art.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22.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(Istituzione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Fondo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solidarietà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patrocinio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maltrattamenti)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74" w:name="art22-com1"/>
      <w:bookmarkEnd w:id="174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previsto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articoli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3,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istituisce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Fondo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solidarietà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maltrattamenti,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seguito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denominato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Fondo,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volto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sostenerne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sede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giudiziaria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prodromica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all'avvio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stesse,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ivi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compreso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l'eventuale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ricorso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consulenza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ambito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civilistico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consulenza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tecnica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parte.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75" w:name="art22-com2"/>
      <w:bookmarkEnd w:id="175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Fondo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è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utilizzato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coprire,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secondo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previsto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regolamento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52" w:anchor="art22-com3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comma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3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assistenza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ambito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ambito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civile,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nell'ipotesi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patrocinio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è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svolto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avvocati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avvocate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nominativi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risultino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regolarmente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iscritti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appositi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elenchi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abbiano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specifica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continua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nell'ambito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patrocinio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maltrattamenti.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76" w:name="art22-com3"/>
      <w:bookmarkEnd w:id="176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3.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Giunta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sentita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commissione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consiliare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competente,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approva,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sensi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dell'articolo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27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Statuto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regolamento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definisce: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77" w:name="art22-com3-leta"/>
      <w:bookmarkEnd w:id="177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dotazione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finanziaria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Fondo,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implementazione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gestione;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78" w:name="art22-com3-letb"/>
      <w:bookmarkEnd w:id="178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criteri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erogazione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disponibilità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Fondo,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condizione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reddituale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vittima;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79" w:name="art22-com3-letc"/>
      <w:bookmarkEnd w:id="179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l'elenco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procedimenti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è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possibile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l'accesso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Fondo;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80" w:name="art22-com3-letd"/>
      <w:bookmarkEnd w:id="180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parametri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identificare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liquidazione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parcelle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avvocate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avvocati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patrocinanti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ammessi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Fondo;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81" w:name="art22-com3-lete"/>
      <w:bookmarkEnd w:id="181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informazione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promozione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Fondo;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82" w:name="art22-com3-letf"/>
      <w:bookmarkEnd w:id="182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recupero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contributi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restituzione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Fondo,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limiti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erogato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stesso,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particolare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riferimento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cui: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83" w:name="art22-com3-letf-num1"/>
      <w:bookmarkEnd w:id="183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favore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beneficiaria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dell'intervento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copertura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assistenza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è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disposto,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sentenza,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pagamento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processuali;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84" w:name="art22-com3-letf-num2"/>
      <w:bookmarkEnd w:id="184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soggetti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beneficiari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dell'intervento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copertura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assistenza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successivamente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condannati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calunnia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merito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stessi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hanno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richiesto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tutela;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85" w:name="art22-com3-letg"/>
      <w:bookmarkEnd w:id="185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tutte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altre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utili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all'attuazione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articolo.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86" w:name="art22-com4"/>
      <w:bookmarkEnd w:id="186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4.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stipula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apposita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convenzione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ordini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avvocati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Piemonte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predisporre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rendere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accessibile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elenco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avvocati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patrocinanti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Fondo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esperienza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continua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specifiche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settore.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87" w:name="art22-com5"/>
      <w:bookmarkEnd w:id="187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5.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convenzione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53" w:anchor="art22-com4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comma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4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l'altro,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prevede: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88" w:name="art22-com5-leta"/>
      <w:bookmarkEnd w:id="188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individuazione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professionisti;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89" w:name="art22-com5-letb"/>
      <w:bookmarkEnd w:id="189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aggiornamento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professionale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specifico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materia;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90" w:name="art22-com5-letc"/>
      <w:bookmarkEnd w:id="190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pubblicizzazione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elenchi;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91" w:name="art22-com5-letd"/>
      <w:bookmarkEnd w:id="191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raccordo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territorio;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92" w:name="art22-com5-lete"/>
      <w:bookmarkEnd w:id="192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periodico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aggiornamento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elenchi;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93" w:name="art22-com5-letf"/>
      <w:bookmarkEnd w:id="193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informazione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Fondo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tutti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iscritti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ordini.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ab/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Art.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23.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(Piano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triennale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interventi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contrastare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genere)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94" w:name="art23-com1"/>
      <w:bookmarkEnd w:id="194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Giunta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sentiti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istituzioni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locali,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coerenza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principi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legge,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nonché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programmazione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socio-sanitaria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adotta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piano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triennale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interventi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contrastare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sentita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commissione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consiliare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tavolo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coordinamento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54" w:anchor="art5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5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95" w:name="art23-com2"/>
      <w:bookmarkEnd w:id="195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piano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definisce,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contesto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programmazione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complessiva,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obiettivi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perseguire,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necessarie,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priorità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criteri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realizzazione,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particolare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attenzione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istituzione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rifugio,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promozione,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implementazione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interistituzionali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facenti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capo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55" w:anchor="art6-com8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6,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comma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8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.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96" w:name="art24"/>
      <w:bookmarkEnd w:id="196"/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ab/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Art.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24.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(Monitoraggio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raccolta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dati)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97" w:name="art24-com1"/>
      <w:bookmarkEnd w:id="197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collabora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istituzioni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soggetti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nazionali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responsabili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costruzione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sistema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integrato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minori,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fruibili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livello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nazionale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locale.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98" w:name="art24-com2"/>
      <w:bookmarkEnd w:id="198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L'attività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monitoraggio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raccolta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comprende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reperimento,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l'amministrazione,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l'elaborazione,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l'analisi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divulgazione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informazioni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caratteristiche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l'evoluzione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fenomeno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definita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56" w:anchor="art2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tutte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rientrano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campo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applicazione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legge,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nonché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prevenzione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contrasto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sostegno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199" w:name="art24-com3"/>
      <w:bookmarkEnd w:id="199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3.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coordina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monitoraggio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raccolta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fenomeno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proprio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secondo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definite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organismi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livello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nazionale,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particolare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riferimento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all'ambito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sanitario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attraverso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formative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rivolte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operatori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operatrici.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00" w:name="art24-com4"/>
      <w:bookmarkEnd w:id="200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4.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garantisce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raccolta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57" w:anchor="art24-com3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comma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3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cadenza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annuale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assolve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debiti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informativi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confronti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Stato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propria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competenza.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01" w:name="art24-com5"/>
      <w:bookmarkEnd w:id="201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5.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garantisce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inoltre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l'aggiornamento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censimento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monitoraggio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cadenza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annuale.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02" w:name="art24-com6"/>
      <w:bookmarkEnd w:id="202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6.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monitoraggio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svolgono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rispetto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diritti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riservatezza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interessati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previste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58" w:tooltip="Nuova finestra browser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decreto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legislativo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30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giugno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2003,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n.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196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(Codice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materia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protezione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personali)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normativa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europea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nazionale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applicabile.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03" w:name="art24-com7"/>
      <w:bookmarkEnd w:id="203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7.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svolgimento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compiti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funzioni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commi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3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può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avvalersi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supporto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tecnico-scientifico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ricerca,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università,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aziende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sanitarie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funzioni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sovrazonali.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04" w:name="art25"/>
      <w:bookmarkEnd w:id="204"/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ab/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Art.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25.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(Regolamento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attuativo)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05" w:name="art25-com1"/>
      <w:bookmarkEnd w:id="205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Fermo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restando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regolamento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59" w:anchor="art22-com3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22,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comma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3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Giunta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sentita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commissione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consiliare,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entro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centoventi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giorni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dall'entrata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vigore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legge,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adotta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sensi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dell'articolo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27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Statuto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ulteriore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regolamento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definisce: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06" w:name="art25-com1-leta"/>
      <w:bookmarkEnd w:id="206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criteri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l'istituzione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rifugio,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nonché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organizzative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stessi;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07" w:name="art25-com1-letb"/>
      <w:bookmarkEnd w:id="207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standard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strutturali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gestionali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rifugio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destinate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all'accoglienza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autorizzazione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permanenza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dell'autorizzazione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stessa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nonché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adeguate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volte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assicurarne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necessaria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riservatezza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collocazione;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08" w:name="art25-com1-letc"/>
      <w:bookmarkEnd w:id="208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raccordo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socio-assistenziali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sanitari,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assistenza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abitativi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lavoro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formazione,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strutture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educative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scolastiche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l'associazionismo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organizzazioni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volontariato;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09" w:name="art25-com1-letd"/>
      <w:bookmarkEnd w:id="209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organizzazione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funzionamento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esperto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sanitario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60" w:anchor="art19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19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10" w:name="art25-com1-lete"/>
      <w:bookmarkEnd w:id="210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linee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indicative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l'attività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permanente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aggiornamento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tutti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coloro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intervengono;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11" w:name="art25-com1-letf"/>
      <w:bookmarkEnd w:id="211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accesso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12" w:name="art25-com1-letg"/>
      <w:bookmarkEnd w:id="212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standard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aggiornare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periodicamente;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13" w:name="art25-com1-leth"/>
      <w:bookmarkEnd w:id="213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h)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criteri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definire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necessario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all'espletamento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comprese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professionalità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specifiche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richieste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rapporto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tipologia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14" w:name="art25-com1-leti"/>
      <w:bookmarkEnd w:id="214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criteri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valutazione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esterna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antiviolenza;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15" w:name="art25-com1-letl"/>
      <w:bookmarkEnd w:id="215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criteri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sviluppo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sistema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monitoraggio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61" w:anchor="art3-com1-leti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3,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comma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1,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lettera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i)</w:t>
        </w:r>
      </w:hyperlink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</w:p>
    <w:p w:rsidR="00BB1779" w:rsidRPr="00BF4334" w:rsidRDefault="00BB1779" w:rsidP="00BF4334">
      <w:pPr>
        <w:shd w:val="clear" w:color="auto" w:fill="FFFFFF"/>
        <w:spacing w:after="64" w:line="360" w:lineRule="atLeast"/>
        <w:jc w:val="center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16" w:name="cap6"/>
      <w:bookmarkEnd w:id="216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Capo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VI.</w:t>
      </w:r>
    </w:p>
    <w:p w:rsidR="00BB1779" w:rsidRPr="00BF4334" w:rsidRDefault="00BB1779" w:rsidP="00BF4334">
      <w:pPr>
        <w:shd w:val="clear" w:color="auto" w:fill="FFFFFF"/>
        <w:spacing w:after="64" w:line="360" w:lineRule="atLeast"/>
        <w:jc w:val="center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Valutazione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17" w:name="art26"/>
      <w:bookmarkEnd w:id="217"/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ab/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Art.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26.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(Clausola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valutativa)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18" w:name="art26-com1"/>
      <w:bookmarkEnd w:id="218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Giunta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rende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periodicamente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Consiglio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attuazione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legge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risultati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ottenuti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termini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contributo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prevenzione,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all'informazione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supporto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figli.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19" w:name="art26-com2"/>
      <w:bookmarkEnd w:id="219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62" w:anchor="art26-com1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comma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Giunta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decorsi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due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dall'entrata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vigore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legge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successivamente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almeno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centoventi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giorni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prima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dell'adozione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piano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triennale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interventi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63" w:anchor="art23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23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commissione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consiliare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Comitato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normazione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valutazione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politiche,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relazione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fornisce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particolare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seguenti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informazioni: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20" w:name="art26-com2-leta"/>
      <w:bookmarkEnd w:id="220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quadro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dell'andamento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fenomeno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principali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iniziative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realizzate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prevenzione,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l'informazione,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contrasto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l'assistenza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figli;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21" w:name="art26-com2-letb"/>
      <w:bookmarkEnd w:id="221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descrizione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sintetica,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fondata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dell'albo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rifugio,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servizi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22" w:name="art26-com2-letc"/>
      <w:bookmarkEnd w:id="222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svolte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afferenti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accogliere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adeguato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figli;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23" w:name="art26-com2-letd"/>
      <w:bookmarkEnd w:id="223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finanziamento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interventi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oggetto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legge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distribuzione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finanziamenti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territorio;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24" w:name="art26-com2-lete"/>
      <w:bookmarkEnd w:id="224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64" w:anchor="cap3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capo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III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iniziative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formative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realizzate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materia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prevenzione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contrasto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sostegno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figli;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25" w:name="art26-com2-letf"/>
      <w:bookmarkEnd w:id="225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descrizione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stato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attuazione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legge,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particolare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interventi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previsti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65" w:anchor="cap4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capo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IV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eventuali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criticità.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26" w:name="art26-com3"/>
      <w:bookmarkEnd w:id="226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3.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relazioni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è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inserita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apposita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riguardante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l'utilizzo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Fondo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66" w:anchor="art22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22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particolare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riferimento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a: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27" w:name="art26-com3-leta"/>
      <w:bookmarkEnd w:id="227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dotazione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fondo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grado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utilizzo;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28" w:name="art26-com3-letb"/>
      <w:bookmarkEnd w:id="228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tipo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numero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domande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ammesse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disponibilità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Fondo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l'entità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contributo;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29" w:name="art26-com3-letc"/>
      <w:bookmarkEnd w:id="229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tipo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numero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domande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ammesse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contributo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motivazioni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dell'esclusione;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30" w:name="art26-com3-letd"/>
      <w:bookmarkEnd w:id="230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tipologia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l'esito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relativi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procedimenti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giudiziari,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riferimento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è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stata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accolta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richiesta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ammissione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disponibilità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Fondo;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31" w:name="art26-com3-lete"/>
      <w:bookmarkEnd w:id="231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svolte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Giunta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informare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potenziali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beneficiari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possibilità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accesso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disponibilità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Fondo;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32" w:name="art26-com3-letf"/>
      <w:bookmarkEnd w:id="232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numero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convenzioni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stipulate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ordini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avvocati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Piemonte.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33" w:name="art26-com4"/>
      <w:bookmarkEnd w:id="233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4.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relazioni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successive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prima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documentano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inoltre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effetti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politiche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prevenzione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contrasto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sostegno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figli,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fornendo,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particolare,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seguenti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informazioni: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34" w:name="art26-com4-leta"/>
      <w:bookmarkEnd w:id="234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contributo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strumenti,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attività,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interventi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perseguimento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67" w:anchor="art1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35" w:name="art26-com4-letb"/>
      <w:bookmarkEnd w:id="235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l'evoluzione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fenomeno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territorio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varie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manifestazioni,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confronto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situazione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nazionale,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attribuibile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complesso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iniziative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previste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legge;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36" w:name="art26-com4-letc"/>
      <w:bookmarkEnd w:id="236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sintesi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opinioni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prevalenti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operatori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locale,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settore.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37" w:name="art26-com5"/>
      <w:bookmarkEnd w:id="237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5.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Consiglio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tenuto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relazioni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presentate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eventuali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ulteriori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documenti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analisi,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formula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direttive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indirizzi,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Giunta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adotta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modifica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successivi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piani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triennali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interventi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contrastare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genere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68" w:anchor="art23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23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38" w:name="art26-com6"/>
      <w:bookmarkEnd w:id="238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6.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relazioni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pubbliche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unitamente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eventuali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documenti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Consiglio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concludono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l'esame.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39" w:name="art26-com7"/>
      <w:bookmarkEnd w:id="239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7.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soggetti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coinvolti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nell'attuazione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legge,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pubblici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privati,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forniscono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informazioni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necessarie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all'espletamento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previste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commi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precedenti.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attività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finanziate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risorse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69" w:anchor="art28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28</w:t>
        </w:r>
      </w:hyperlink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</w:p>
    <w:p w:rsidR="00BB1779" w:rsidRPr="00BF4334" w:rsidRDefault="00BB1779" w:rsidP="002037AF">
      <w:pPr>
        <w:shd w:val="clear" w:color="auto" w:fill="FFFFFF"/>
        <w:spacing w:after="64" w:line="360" w:lineRule="atLeast"/>
        <w:jc w:val="center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Capo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VII.</w:t>
      </w:r>
    </w:p>
    <w:p w:rsidR="00BB1779" w:rsidRPr="00BF4334" w:rsidRDefault="00BB1779" w:rsidP="002037AF">
      <w:pPr>
        <w:shd w:val="clear" w:color="auto" w:fill="FFFFFF"/>
        <w:spacing w:after="64" w:line="360" w:lineRule="atLeast"/>
        <w:jc w:val="center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Norme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transitorie,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finanziarie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abrogative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40" w:name="art27"/>
      <w:bookmarkEnd w:id="240"/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ab/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Art.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27.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(Norme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transitorie)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41" w:name="art27-com1"/>
      <w:bookmarkEnd w:id="241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sede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prima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applicazione,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Giunta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approva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piano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triennale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70" w:anchor="art23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23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ivi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previste,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entro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centottanta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giorni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dall'entrata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vigore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legge.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42" w:name="art27-com2"/>
      <w:bookmarkEnd w:id="242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rifugio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già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operanti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dell'entrata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vigore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legge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possesso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requisiti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previsti,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tenuti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adeguarsi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entro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dall'entrata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vigore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legge.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43" w:name="art27-com3"/>
      <w:bookmarkEnd w:id="243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3.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all'entrata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vigore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legge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nuovi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regolamenti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previsti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rispettivamente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71" w:anchor="art22-com3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comma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3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dell'articolo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22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ed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72" w:anchor="art25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25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continuano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trovare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applicazione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regolamenti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marzo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2009,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3/R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(Criteri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erogazione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disponibilità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fondo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attuazione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73" w:tooltip="Nuova finestra browser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legge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regionale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17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marzo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2008,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n.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11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'Istituzione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fondo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solidarietà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patrocinio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maltrattamenti')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16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novembre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2009,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17/R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(Disposizioni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attuative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74" w:tooltip="Nuova finestra browser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legge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regionale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29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maggio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2009,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n.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16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'Istituzione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rifugio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').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44" w:name="art28"/>
      <w:bookmarkEnd w:id="244"/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ab/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Art.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28.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(Norme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finanziarie)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45" w:name="art28-com1"/>
      <w:bookmarkEnd w:id="245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oneri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l'attuazione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articoli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3,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8,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9,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10,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11,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12,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13,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14,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15,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16,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20,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21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26,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quantificati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bilancio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2016-2017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euro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500.000,00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ciascun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anno,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termini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bilancio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2016-2018,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ripartiti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euro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300.000,00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spesa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corrente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euro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200.000,00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spesa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capitale,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entrambi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missione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12,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programma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12.10,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fronte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rispettivamente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risorse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missione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12,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programma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12.10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risorse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missione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01,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programma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01.03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bilancio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previsione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finanziario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2016-2018,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presentano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necessaria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copertura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finanziaria.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quota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inferiore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euro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100.000,00,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rispetto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finanziamento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previsto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2016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2017,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viene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riservata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sostegno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interventi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favore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tratta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75" w:anchor="art15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15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46" w:name="art28-com2"/>
      <w:bookmarkEnd w:id="246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oneri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l'attuazione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Fondo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solidarietà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patrocinio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maltrattamenti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76" w:anchor="art22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22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quantificati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biennio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2016-2017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euro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150.000,00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ciascun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anno,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termini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competenza,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bilancio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previsione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finanziario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2016-2018,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fronte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risorse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missione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12,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programma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12.10,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necessaria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copertura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finanziaria.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47" w:name="art28-com3"/>
      <w:bookmarkEnd w:id="247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3.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finanziamento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degli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interventi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commi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concorrono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anche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risorse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statali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assegnate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sensi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77" w:anchor="art5bis" w:tooltip="Nuova finestra browser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articolo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5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bis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del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decreto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legge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93/2013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altre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previsioni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normative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specifiche.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48" w:name="art28-com4"/>
      <w:bookmarkEnd w:id="248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4.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finanziamenti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concessi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sensi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legge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cumulabili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quelli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previsti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altre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normative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statali,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comunitarie,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purchè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queste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diversamente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stabilito,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secondo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procedure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modalità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previste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norme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medesime.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49" w:name="art29"/>
      <w:bookmarkEnd w:id="249"/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ab/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Art.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29.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(Abrogazioni)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50" w:name="art29-com1"/>
      <w:bookmarkEnd w:id="250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1.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bookmarkStart w:id="251" w:name="mod1"/>
      <w:bookmarkEnd w:id="251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abrogate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seguenti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disposizioni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regionali: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52" w:name="art29-com1-leta"/>
      <w:bookmarkEnd w:id="252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78" w:tooltip="Nuova finestra browser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legge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regionale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17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marzo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2008,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n.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11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(Istituzione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fondo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solidarietà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per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il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patrocinio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alle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donne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vittime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maltrattamenti);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bookmarkStart w:id="253" w:name="art29-com1-letb"/>
      <w:bookmarkEnd w:id="253"/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b)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hyperlink r:id="rId79" w:tooltip="Nuova finestra browser" w:history="1"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legge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regionale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29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maggio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2009,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n.</w:t>
        </w:r>
        <w:r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 xml:space="preserve"> </w:t>
        </w:r>
        <w:r w:rsidRPr="00BF4334">
          <w:rPr>
            <w:rFonts w:ascii="Times New Roman" w:hAnsi="Times New Roman"/>
            <w:bCs/>
            <w:color w:val="263248"/>
            <w:sz w:val="24"/>
            <w:szCs w:val="24"/>
            <w:lang w:eastAsia="it-IT"/>
          </w:rPr>
          <w:t>16</w:t>
        </w:r>
      </w:hyperlink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(Istituzione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Centri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antiviolenza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con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case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rifugio).</w:t>
      </w:r>
    </w:p>
    <w:p w:rsidR="00BB1779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ab/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presente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legge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sarà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pubblicata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nel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Bollettino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Ufficiale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Regione.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E'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fatto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obbligo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chiunque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spetti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osservarla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di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farla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osservare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come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legge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della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Regione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Piemonte.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Data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Torino,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addì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24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febbraio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 xml:space="preserve"> </w:t>
      </w:r>
      <w:r w:rsidRPr="00BF4334">
        <w:rPr>
          <w:rFonts w:ascii="Times New Roman" w:hAnsi="Times New Roman"/>
          <w:bCs/>
          <w:color w:val="263248"/>
          <w:sz w:val="24"/>
          <w:szCs w:val="24"/>
          <w:lang w:eastAsia="it-IT"/>
        </w:rPr>
        <w:t>2016</w:t>
      </w:r>
      <w:r>
        <w:rPr>
          <w:rFonts w:ascii="Times New Roman" w:hAnsi="Times New Roman"/>
          <w:bCs/>
          <w:color w:val="263248"/>
          <w:sz w:val="24"/>
          <w:szCs w:val="24"/>
          <w:lang w:eastAsia="it-IT"/>
        </w:rPr>
        <w:t>.</w:t>
      </w:r>
    </w:p>
    <w:p w:rsidR="00BB1779" w:rsidRPr="00BF4334" w:rsidRDefault="00BB1779" w:rsidP="003A792E">
      <w:pPr>
        <w:shd w:val="clear" w:color="auto" w:fill="FFFFFF"/>
        <w:spacing w:after="64" w:line="360" w:lineRule="atLeast"/>
        <w:outlineLvl w:val="1"/>
        <w:rPr>
          <w:rFonts w:ascii="Times New Roman" w:hAnsi="Times New Roman"/>
          <w:bCs/>
          <w:color w:val="263248"/>
          <w:sz w:val="24"/>
          <w:szCs w:val="24"/>
          <w:lang w:eastAsia="it-IT"/>
        </w:rPr>
      </w:pPr>
    </w:p>
    <w:sectPr w:rsidR="00BB1779" w:rsidRPr="00BF4334" w:rsidSect="000D02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04"/>
    <w:rsid w:val="0001194F"/>
    <w:rsid w:val="00030F73"/>
    <w:rsid w:val="000333E4"/>
    <w:rsid w:val="00076135"/>
    <w:rsid w:val="000C08B9"/>
    <w:rsid w:val="000D02A9"/>
    <w:rsid w:val="000E3CD2"/>
    <w:rsid w:val="0012485E"/>
    <w:rsid w:val="00173120"/>
    <w:rsid w:val="00177A1A"/>
    <w:rsid w:val="001A242E"/>
    <w:rsid w:val="001A2441"/>
    <w:rsid w:val="001F0EB5"/>
    <w:rsid w:val="002037AF"/>
    <w:rsid w:val="00205751"/>
    <w:rsid w:val="00241FB9"/>
    <w:rsid w:val="00257778"/>
    <w:rsid w:val="00290292"/>
    <w:rsid w:val="002D5048"/>
    <w:rsid w:val="002D66AC"/>
    <w:rsid w:val="002D7156"/>
    <w:rsid w:val="002E1D2A"/>
    <w:rsid w:val="003A792E"/>
    <w:rsid w:val="003C1E65"/>
    <w:rsid w:val="00453FF4"/>
    <w:rsid w:val="00463B02"/>
    <w:rsid w:val="004B7266"/>
    <w:rsid w:val="004D704F"/>
    <w:rsid w:val="005417BE"/>
    <w:rsid w:val="0059131F"/>
    <w:rsid w:val="00626F23"/>
    <w:rsid w:val="00743C40"/>
    <w:rsid w:val="00764D20"/>
    <w:rsid w:val="00770804"/>
    <w:rsid w:val="0079138D"/>
    <w:rsid w:val="007A3BFD"/>
    <w:rsid w:val="00824514"/>
    <w:rsid w:val="00847855"/>
    <w:rsid w:val="00854A6F"/>
    <w:rsid w:val="00865668"/>
    <w:rsid w:val="00877B9E"/>
    <w:rsid w:val="0089344D"/>
    <w:rsid w:val="0089655B"/>
    <w:rsid w:val="008A542D"/>
    <w:rsid w:val="008B086A"/>
    <w:rsid w:val="008C0447"/>
    <w:rsid w:val="009655D5"/>
    <w:rsid w:val="009D1B7B"/>
    <w:rsid w:val="00A042F5"/>
    <w:rsid w:val="00A534D7"/>
    <w:rsid w:val="00A53B54"/>
    <w:rsid w:val="00A83A49"/>
    <w:rsid w:val="00AB577F"/>
    <w:rsid w:val="00AD09EA"/>
    <w:rsid w:val="00B156A4"/>
    <w:rsid w:val="00BB1779"/>
    <w:rsid w:val="00BB6A74"/>
    <w:rsid w:val="00BC2171"/>
    <w:rsid w:val="00BF4334"/>
    <w:rsid w:val="00C15957"/>
    <w:rsid w:val="00CE18C4"/>
    <w:rsid w:val="00CE245D"/>
    <w:rsid w:val="00D4620A"/>
    <w:rsid w:val="00D92FFC"/>
    <w:rsid w:val="00DF4BF8"/>
    <w:rsid w:val="00DF6AFB"/>
    <w:rsid w:val="00E21177"/>
    <w:rsid w:val="00E44F32"/>
    <w:rsid w:val="00E50870"/>
    <w:rsid w:val="00E562AA"/>
    <w:rsid w:val="00E91582"/>
    <w:rsid w:val="00ED1214"/>
    <w:rsid w:val="00E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F149D70-5EB4-49E4-A601-D33AC513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02A9"/>
    <w:pPr>
      <w:spacing w:after="200" w:line="276" w:lineRule="auto"/>
    </w:pPr>
    <w:rPr>
      <w:lang w:eastAsia="en-US"/>
    </w:rPr>
  </w:style>
  <w:style w:type="paragraph" w:styleId="Titolo2">
    <w:name w:val="heading 2"/>
    <w:basedOn w:val="Normale"/>
    <w:link w:val="Titolo2Carattere"/>
    <w:uiPriority w:val="99"/>
    <w:qFormat/>
    <w:rsid w:val="007708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770804"/>
    <w:rPr>
      <w:rFonts w:ascii="Times New Roman" w:hAnsi="Times New Roman" w:cs="Times New Roman"/>
      <w:b/>
      <w:bCs/>
      <w:sz w:val="36"/>
      <w:szCs w:val="36"/>
      <w:lang w:eastAsia="it-IT"/>
    </w:rPr>
  </w:style>
  <w:style w:type="paragraph" w:customStyle="1" w:styleId="titolodoc">
    <w:name w:val="titolodoc"/>
    <w:basedOn w:val="Normale"/>
    <w:uiPriority w:val="99"/>
    <w:rsid w:val="00770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rsid w:val="00770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formulainiziale">
    <w:name w:val="formulainiziale"/>
    <w:basedOn w:val="Normale"/>
    <w:uiPriority w:val="99"/>
    <w:rsid w:val="00770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uiPriority w:val="99"/>
    <w:rsid w:val="00770804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77080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79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9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90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2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902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4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902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2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902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902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2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2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903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903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903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9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903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903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90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2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2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2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2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2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902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3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904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903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903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2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2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90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904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9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902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9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2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2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90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904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2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2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2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2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2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9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902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902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902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2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2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2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902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2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903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2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904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2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904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904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9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9036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902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2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31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32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33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35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41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42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4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45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903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3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37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41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45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904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2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30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35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37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38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41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41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42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43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4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44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44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46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47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4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7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902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2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2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2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2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2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903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904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904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2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2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90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384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9030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9047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2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904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9036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42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79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9025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90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251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9041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3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903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904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9035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38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9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902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3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902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903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904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3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4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rianna.consiglioregionale.piemonte.it/ariaint/TESTO?LAYOUT=PRESENTAZIONE&amp;TIPODOC=LEGGI&amp;LEGGE=4&amp;LEGGEANNO=2016" TargetMode="External"/><Relationship Id="rId18" Type="http://schemas.openxmlformats.org/officeDocument/2006/relationships/hyperlink" Target="http://www.normattiva.it/uri-res/N2Ls?urn:nir:stato:legge:2013-10-15;119" TargetMode="External"/><Relationship Id="rId26" Type="http://schemas.openxmlformats.org/officeDocument/2006/relationships/hyperlink" Target="http://arianna.consiglioregionale.piemonte.it/ariaint/TESTO?LAYOUT=PRESENTAZIONE&amp;TIPODOC=LEGGI&amp;LEGGE=4&amp;LEGGEANNO=2016" TargetMode="External"/><Relationship Id="rId39" Type="http://schemas.openxmlformats.org/officeDocument/2006/relationships/hyperlink" Target="http://arianna.consiglioregionale.piemonte.it/ariaint/TESTO?LAYOUT=PRESENTAZIONE&amp;TIPODOC=LEGGI&amp;LEGGE=4&amp;LEGGEANNO=2016" TargetMode="External"/><Relationship Id="rId21" Type="http://schemas.openxmlformats.org/officeDocument/2006/relationships/hyperlink" Target="http://arianna.consiglioregionale.piemonte.it/ariaint/TESTO?LAYOUT=PRESENTAZIONE&amp;TIPODOC=LEGGI&amp;LEGGE=4&amp;LEGGEANNO=2016" TargetMode="External"/><Relationship Id="rId34" Type="http://schemas.openxmlformats.org/officeDocument/2006/relationships/hyperlink" Target="http://www.normattiva.it/uri-res/N2Ls?urn:nir:stato:decreto.legislativo:2014-03-04;24" TargetMode="External"/><Relationship Id="rId42" Type="http://schemas.openxmlformats.org/officeDocument/2006/relationships/hyperlink" Target="http://arianna.consiglioregionale.piemonte.it/ariaint/TESTO?LAYOUT=PRESENTAZIONE&amp;TIPODOC=LEGGI&amp;LEGGE=4&amp;LEGGEANNO=2016" TargetMode="External"/><Relationship Id="rId47" Type="http://schemas.openxmlformats.org/officeDocument/2006/relationships/hyperlink" Target="http://arianna.consiglioregionale.piemonte.it/ariaint/TESTO?LAYOUT=PRESENTAZIONE&amp;TIPODOC=LEGGI&amp;LEGGE=4&amp;LEGGEANNO=2016" TargetMode="External"/><Relationship Id="rId50" Type="http://schemas.openxmlformats.org/officeDocument/2006/relationships/hyperlink" Target="http://arianna.consiglioregionale.piemonte.it/ariaint/TESTO?LAYOUT=PRESENTAZIONE&amp;TIPODOC=LEGGI&amp;LEGGE=4&amp;LEGGEANNO=2016" TargetMode="External"/><Relationship Id="rId55" Type="http://schemas.openxmlformats.org/officeDocument/2006/relationships/hyperlink" Target="http://arianna.consiglioregionale.piemonte.it/ariaint/TESTO?LAYOUT=PRESENTAZIONE&amp;TIPODOC=LEGGI&amp;LEGGE=4&amp;LEGGEANNO=2016" TargetMode="External"/><Relationship Id="rId63" Type="http://schemas.openxmlformats.org/officeDocument/2006/relationships/hyperlink" Target="http://arianna.consiglioregionale.piemonte.it/ariaint/TESTO?LAYOUT=PRESENTAZIONE&amp;TIPODOC=LEGGI&amp;LEGGE=4&amp;LEGGEANNO=2016" TargetMode="External"/><Relationship Id="rId68" Type="http://schemas.openxmlformats.org/officeDocument/2006/relationships/hyperlink" Target="http://arianna.consiglioregionale.piemonte.it/ariaint/TESTO?LAYOUT=PRESENTAZIONE&amp;TIPODOC=LEGGI&amp;LEGGE=4&amp;LEGGEANNO=2016" TargetMode="External"/><Relationship Id="rId76" Type="http://schemas.openxmlformats.org/officeDocument/2006/relationships/hyperlink" Target="http://arianna.consiglioregionale.piemonte.it/ariaint/TESTO?LAYOUT=PRESENTAZIONE&amp;TIPODOC=LEGGI&amp;LEGGE=4&amp;LEGGEANNO=2016" TargetMode="External"/><Relationship Id="rId7" Type="http://schemas.openxmlformats.org/officeDocument/2006/relationships/hyperlink" Target="http://arianna.consiglioregionale.piemonte.it/ariaint/TESTO?LAYOUT=PRESENTAZIONE&amp;TIPODOC=LEGGI&amp;LEGGE=4&amp;LEGGEANNO=2016" TargetMode="External"/><Relationship Id="rId71" Type="http://schemas.openxmlformats.org/officeDocument/2006/relationships/hyperlink" Target="http://arianna.consiglioregionale.piemonte.it/ariaint/TESTO?LAYOUT=PRESENTAZIONE&amp;TIPODOC=LEGGI&amp;LEGGE=4&amp;LEGGEANNO=20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rianna.consiglioregionale.piemonte.it/ariaint/TESTO?LAYOUT=PRESENTAZIONE&amp;TIPODOC=LEGGI&amp;LEGGE=4&amp;LEGGEANNO=2016" TargetMode="External"/><Relationship Id="rId29" Type="http://schemas.openxmlformats.org/officeDocument/2006/relationships/hyperlink" Target="http://arianna.consiglioregionale.piemonte.it/ariaint/TESTO?LAYOUT=PRESENTAZIONE&amp;TIPODOC=LEGGI&amp;LEGGE=4&amp;LEGGEANNO=2016" TargetMode="External"/><Relationship Id="rId11" Type="http://schemas.openxmlformats.org/officeDocument/2006/relationships/hyperlink" Target="http://www.normattiva.it/uri-res/N2Ls?urn:nir:stato:legge:2014-04-07;56" TargetMode="External"/><Relationship Id="rId24" Type="http://schemas.openxmlformats.org/officeDocument/2006/relationships/hyperlink" Target="http://arianna.consiglioregionale.piemonte.it/ariaint/TESTO?LAYOUT=PRESENTAZIONE&amp;TIPODOC=LEGGI&amp;LEGGE=4&amp;LEGGEANNO=2016" TargetMode="External"/><Relationship Id="rId32" Type="http://schemas.openxmlformats.org/officeDocument/2006/relationships/hyperlink" Target="http://arianna.consiglioregionale.piemonte.it/ariaint/TESTO?LAYOUT=PRESENTAZIONE&amp;TIPODOC=LEGGI&amp;LEGGE=4&amp;LEGGEANNO=2016" TargetMode="External"/><Relationship Id="rId37" Type="http://schemas.openxmlformats.org/officeDocument/2006/relationships/hyperlink" Target="http://www.normattiva.it/uri-res/N2Ls?urn:nir:stato:legge:2003-08-11;228" TargetMode="External"/><Relationship Id="rId40" Type="http://schemas.openxmlformats.org/officeDocument/2006/relationships/hyperlink" Target="http://arianna.consiglioregionale.piemonte.it/ariaint/TESTO?LAYOUT=PRESENTAZIONE&amp;TIPODOC=LEGGI&amp;LEGGE=4&amp;LEGGEANNO=2016" TargetMode="External"/><Relationship Id="rId45" Type="http://schemas.openxmlformats.org/officeDocument/2006/relationships/hyperlink" Target="http://arianna.consiglioregionale.piemonte.it/ariaint/TESTO?LAYOUT=PRESENTAZIONE&amp;TIPODOC=LEGGI&amp;LEGGE=4&amp;LEGGEANNO=2016" TargetMode="External"/><Relationship Id="rId53" Type="http://schemas.openxmlformats.org/officeDocument/2006/relationships/hyperlink" Target="http://arianna.consiglioregionale.piemonte.it/ariaint/TESTO?LAYOUT=PRESENTAZIONE&amp;TIPODOC=LEGGI&amp;LEGGE=4&amp;LEGGEANNO=2016" TargetMode="External"/><Relationship Id="rId58" Type="http://schemas.openxmlformats.org/officeDocument/2006/relationships/hyperlink" Target="http://www.normattiva.it/uri-res/N2Ls?urn:nir:stato:decreto.legislativo:2003-06-30;196" TargetMode="External"/><Relationship Id="rId66" Type="http://schemas.openxmlformats.org/officeDocument/2006/relationships/hyperlink" Target="http://arianna.consiglioregionale.piemonte.it/ariaint/TESTO?LAYOUT=PRESENTAZIONE&amp;TIPODOC=LEGGI&amp;LEGGE=4&amp;LEGGEANNO=2016" TargetMode="External"/><Relationship Id="rId74" Type="http://schemas.openxmlformats.org/officeDocument/2006/relationships/hyperlink" Target="http://arianna.consiglioregionale.piemonte.it/ariaint/TESTO?LAYOUT=PRESENTAZIONE&amp;TIPODOC=LEGGI&amp;LEGGEANNO=2009&amp;LEGGE=016" TargetMode="External"/><Relationship Id="rId79" Type="http://schemas.openxmlformats.org/officeDocument/2006/relationships/hyperlink" Target="http://arianna.consiglioregionale.piemonte.it/ariaint/TESTO?LAYOUT=PRESENTAZIONE&amp;TIPODOC=LEGGI&amp;LEGGEANNO=2009&amp;LEGGE=016" TargetMode="External"/><Relationship Id="rId5" Type="http://schemas.openxmlformats.org/officeDocument/2006/relationships/hyperlink" Target="http://arianna.consiglioregionale.piemonte.it/ariaint/TESTO?LAYOUT=PRESENTAZIONE&amp;TIPODOC=LEGGI&amp;LEGGE=4&amp;LEGGEANNO=2016" TargetMode="External"/><Relationship Id="rId61" Type="http://schemas.openxmlformats.org/officeDocument/2006/relationships/hyperlink" Target="http://arianna.consiglioregionale.piemonte.it/ariaint/TESTO?LAYOUT=PRESENTAZIONE&amp;TIPODOC=LEGGI&amp;LEGGE=4&amp;LEGGEANNO=2016" TargetMode="External"/><Relationship Id="rId10" Type="http://schemas.openxmlformats.org/officeDocument/2006/relationships/hyperlink" Target="http://www.normattiva.it/uri-res/N2Ls?urn:nir:stato:legge:1992-02-05;104" TargetMode="External"/><Relationship Id="rId19" Type="http://schemas.openxmlformats.org/officeDocument/2006/relationships/hyperlink" Target="http://arianna.consiglioregionale.piemonte.it/ariaint/TESTO?LAYOUT=PRESENTAZIONE&amp;TIPODOC=LEGGI&amp;LEGGEANNO=2004&amp;LEGGE=001" TargetMode="External"/><Relationship Id="rId31" Type="http://schemas.openxmlformats.org/officeDocument/2006/relationships/hyperlink" Target="http://www.normattiva.it/uri-res/N2Ls?urn:nir:stato:legge:1983-05-04;184" TargetMode="External"/><Relationship Id="rId44" Type="http://schemas.openxmlformats.org/officeDocument/2006/relationships/hyperlink" Target="http://arianna.consiglioregionale.piemonte.it/ariaint/TESTO?LAYOUT=PRESENTAZIONE&amp;TIPODOC=LEGGI&amp;LEGGE=4&amp;LEGGEANNO=2016" TargetMode="External"/><Relationship Id="rId52" Type="http://schemas.openxmlformats.org/officeDocument/2006/relationships/hyperlink" Target="http://arianna.consiglioregionale.piemonte.it/ariaint/TESTO?LAYOUT=PRESENTAZIONE&amp;TIPODOC=LEGGI&amp;LEGGE=4&amp;LEGGEANNO=2016" TargetMode="External"/><Relationship Id="rId60" Type="http://schemas.openxmlformats.org/officeDocument/2006/relationships/hyperlink" Target="http://arianna.consiglioregionale.piemonte.it/ariaint/TESTO?LAYOUT=PRESENTAZIONE&amp;TIPODOC=LEGGI&amp;LEGGE=4&amp;LEGGEANNO=2016" TargetMode="External"/><Relationship Id="rId65" Type="http://schemas.openxmlformats.org/officeDocument/2006/relationships/hyperlink" Target="http://arianna.consiglioregionale.piemonte.it/ariaint/TESTO?LAYOUT=PRESENTAZIONE&amp;TIPODOC=LEGGI&amp;LEGGE=4&amp;LEGGEANNO=2016" TargetMode="External"/><Relationship Id="rId73" Type="http://schemas.openxmlformats.org/officeDocument/2006/relationships/hyperlink" Target="http://arianna.consiglioregionale.piemonte.it/ariaint/TESTO?LAYOUT=PRESENTAZIONE&amp;TIPODOC=LEGGI&amp;LEGGEANNO=2008&amp;LEGGE=011" TargetMode="External"/><Relationship Id="rId78" Type="http://schemas.openxmlformats.org/officeDocument/2006/relationships/hyperlink" Target="http://arianna.consiglioregionale.piemonte.it/ariaint/TESTO?LAYOUT=PRESENTAZIONE&amp;TIPODOC=LEGGI&amp;LEGGEANNO=2008&amp;LEGGE=011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arianna.consiglioregionale.piemonte.it/ariaint/TESTO?LAYOUT=PRESENTAZIONE&amp;TIPODOC=LEGGI&amp;LEGGEANNO=2006&amp;LEGGE=007" TargetMode="External"/><Relationship Id="rId14" Type="http://schemas.openxmlformats.org/officeDocument/2006/relationships/hyperlink" Target="http://arianna.consiglioregionale.piemonte.it/ariaint/TESTO?LAYOUT=PRESENTAZIONE&amp;TIPODOC=LEGGI&amp;LEGGEANNO=2004&amp;LEGGE=001" TargetMode="External"/><Relationship Id="rId22" Type="http://schemas.openxmlformats.org/officeDocument/2006/relationships/hyperlink" Target="http://arianna.consiglioregionale.piemonte.it/ariaint/TESTO?LAYOUT=PRESENTAZIONE&amp;TIPODOC=LEGGI&amp;LEGGE=4&amp;LEGGEANNO=2016" TargetMode="External"/><Relationship Id="rId27" Type="http://schemas.openxmlformats.org/officeDocument/2006/relationships/hyperlink" Target="http://arianna.consiglioregionale.piemonte.it/ariaint/TESTO?LAYOUT=PRESENTAZIONE&amp;TIPODOC=LEGGI&amp;LEGGE=4&amp;LEGGEANNO=2016" TargetMode="External"/><Relationship Id="rId30" Type="http://schemas.openxmlformats.org/officeDocument/2006/relationships/hyperlink" Target="http://arianna.consiglioregionale.piemonte.it/ariaint/TESTO?LAYOUT=PRESENTAZIONE&amp;TIPODOC=LEGGI&amp;LEGGE=4&amp;LEGGEANNO=2016" TargetMode="External"/><Relationship Id="rId35" Type="http://schemas.openxmlformats.org/officeDocument/2006/relationships/hyperlink" Target="http://arianna.consiglioregionale.piemonte.it/ariaint/TESTO?LAYOUT=PRESENTAZIONE&amp;TIPODOC=LEGGI&amp;LEGGE=4&amp;LEGGEANNO=2016" TargetMode="External"/><Relationship Id="rId43" Type="http://schemas.openxmlformats.org/officeDocument/2006/relationships/hyperlink" Target="http://arianna.consiglioregionale.piemonte.it/ariaint/TESTO?LAYOUT=PRESENTAZIONE&amp;TIPODOC=LEGGI&amp;LEGGE=4&amp;LEGGEANNO=2016" TargetMode="External"/><Relationship Id="rId48" Type="http://schemas.openxmlformats.org/officeDocument/2006/relationships/hyperlink" Target="http://arianna.consiglioregionale.piemonte.it/ariaint/TESTO?LAYOUT=PRESENTAZIONE&amp;TIPODOC=LEGGI&amp;LEGGE=4&amp;LEGGEANNO=2016" TargetMode="External"/><Relationship Id="rId56" Type="http://schemas.openxmlformats.org/officeDocument/2006/relationships/hyperlink" Target="http://arianna.consiglioregionale.piemonte.it/ariaint/TESTO?LAYOUT=PRESENTAZIONE&amp;TIPODOC=LEGGI&amp;LEGGE=4&amp;LEGGEANNO=2016" TargetMode="External"/><Relationship Id="rId64" Type="http://schemas.openxmlformats.org/officeDocument/2006/relationships/hyperlink" Target="http://arianna.consiglioregionale.piemonte.it/ariaint/TESTO?LAYOUT=PRESENTAZIONE&amp;TIPODOC=LEGGI&amp;LEGGE=4&amp;LEGGEANNO=2016" TargetMode="External"/><Relationship Id="rId69" Type="http://schemas.openxmlformats.org/officeDocument/2006/relationships/hyperlink" Target="http://arianna.consiglioregionale.piemonte.it/ariaint/TESTO?LAYOUT=PRESENTAZIONE&amp;TIPODOC=LEGGI&amp;LEGGE=4&amp;LEGGEANNO=2016" TargetMode="External"/><Relationship Id="rId77" Type="http://schemas.openxmlformats.org/officeDocument/2006/relationships/hyperlink" Target="http://www.normattiva.it/uri-res/N2Ls?urn:nir:stato:decreto.legge:2013;93" TargetMode="External"/><Relationship Id="rId8" Type="http://schemas.openxmlformats.org/officeDocument/2006/relationships/hyperlink" Target="http://arianna.consiglioregionale.piemonte.it/ariaint/TESTO?LAYOUT=PRESENTAZIONE&amp;TIPODOC=LEGGI&amp;LEGGE=4&amp;LEGGEANNO=2016" TargetMode="External"/><Relationship Id="rId51" Type="http://schemas.openxmlformats.org/officeDocument/2006/relationships/hyperlink" Target="http://www.normattiva.it/uri-res/N2Ls?urn:nir:stato:legge:2012-06-28;92" TargetMode="External"/><Relationship Id="rId72" Type="http://schemas.openxmlformats.org/officeDocument/2006/relationships/hyperlink" Target="http://arianna.consiglioregionale.piemonte.it/ariaint/TESTO?LAYOUT=PRESENTAZIONE&amp;TIPODOC=LEGGI&amp;LEGGE=4&amp;LEGGEANNO=2016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arianna.consiglioregionale.piemonte.it/ariaint/TESTO?LAYOUT=PRESENTAZIONE&amp;TIPODOC=LEGGI&amp;LEGGE=4&amp;LEGGEANNO=2016" TargetMode="External"/><Relationship Id="rId17" Type="http://schemas.openxmlformats.org/officeDocument/2006/relationships/hyperlink" Target="http://www.normattiva.it/uri-res/N2Ls?urn:nir:stato:decreto.legge:2013-08-14;93" TargetMode="External"/><Relationship Id="rId25" Type="http://schemas.openxmlformats.org/officeDocument/2006/relationships/hyperlink" Target="http://arianna.consiglioregionale.piemonte.it/ariaint/TESTO?LAYOUT=PRESENTAZIONE&amp;TIPODOC=LEGGI&amp;LEGGEANNO=2004&amp;LEGGE=001" TargetMode="External"/><Relationship Id="rId33" Type="http://schemas.openxmlformats.org/officeDocument/2006/relationships/hyperlink" Target="http://arianna.consiglioregionale.piemonte.it/ariaint/TESTO?LAYOUT=PRESENTAZIONE&amp;TIPODOC=LEGGI&amp;LEGGE=4&amp;LEGGEANNO=2016" TargetMode="External"/><Relationship Id="rId38" Type="http://schemas.openxmlformats.org/officeDocument/2006/relationships/hyperlink" Target="http://www.normattiva.it/uri-res/N2Ls?urn:nir:stato:decreto.legislativo:1998-07-25;286" TargetMode="External"/><Relationship Id="rId46" Type="http://schemas.openxmlformats.org/officeDocument/2006/relationships/hyperlink" Target="http://arianna.consiglioregionale.piemonte.it/ariaint/TESTO?LAYOUT=PRESENTAZIONE&amp;TIPODOC=LEGGI&amp;LEGGE=4&amp;LEGGEANNO=2016" TargetMode="External"/><Relationship Id="rId59" Type="http://schemas.openxmlformats.org/officeDocument/2006/relationships/hyperlink" Target="http://arianna.consiglioregionale.piemonte.it/ariaint/TESTO?LAYOUT=PRESENTAZIONE&amp;TIPODOC=LEGGI&amp;LEGGE=4&amp;LEGGEANNO=2016" TargetMode="External"/><Relationship Id="rId67" Type="http://schemas.openxmlformats.org/officeDocument/2006/relationships/hyperlink" Target="http://arianna.consiglioregionale.piemonte.it/ariaint/TESTO?LAYOUT=PRESENTAZIONE&amp;TIPODOC=LEGGI&amp;LEGGE=4&amp;LEGGEANNO=2016" TargetMode="External"/><Relationship Id="rId20" Type="http://schemas.openxmlformats.org/officeDocument/2006/relationships/hyperlink" Target="http://arianna.consiglioregionale.piemonte.it/ariaint/TESTO?LAYOUT=PRESENTAZIONE&amp;TIPODOC=LEGGI&amp;LEGGE=4&amp;LEGGEANNO=2016" TargetMode="External"/><Relationship Id="rId41" Type="http://schemas.openxmlformats.org/officeDocument/2006/relationships/hyperlink" Target="http://www.normattiva.it/uri-res/N2Ls?urn:nir:stato:legge:2006-01-09;7" TargetMode="External"/><Relationship Id="rId54" Type="http://schemas.openxmlformats.org/officeDocument/2006/relationships/hyperlink" Target="http://arianna.consiglioregionale.piemonte.it/ariaint/TESTO?LAYOUT=PRESENTAZIONE&amp;TIPODOC=LEGGI&amp;LEGGE=4&amp;LEGGEANNO=2016" TargetMode="External"/><Relationship Id="rId62" Type="http://schemas.openxmlformats.org/officeDocument/2006/relationships/hyperlink" Target="http://arianna.consiglioregionale.piemonte.it/ariaint/TESTO?LAYOUT=PRESENTAZIONE&amp;TIPODOC=LEGGI&amp;LEGGE=4&amp;LEGGEANNO=2016" TargetMode="External"/><Relationship Id="rId70" Type="http://schemas.openxmlformats.org/officeDocument/2006/relationships/hyperlink" Target="http://arianna.consiglioregionale.piemonte.it/ariaint/TESTO?LAYOUT=PRESENTAZIONE&amp;TIPODOC=LEGGI&amp;LEGGE=4&amp;LEGGEANNO=2016" TargetMode="External"/><Relationship Id="rId75" Type="http://schemas.openxmlformats.org/officeDocument/2006/relationships/hyperlink" Target="http://arianna.consiglioregionale.piemonte.it/ariaint/TESTO?LAYOUT=PRESENTAZIONE&amp;TIPODOC=LEGGI&amp;LEGGE=4&amp;LEGGEANNO=2016" TargetMode="External"/><Relationship Id="rId1" Type="http://schemas.openxmlformats.org/officeDocument/2006/relationships/styles" Target="styles.xml"/><Relationship Id="rId6" Type="http://schemas.openxmlformats.org/officeDocument/2006/relationships/hyperlink" Target="http://arianna.consiglioregionale.piemonte.it/ariaint/TESTO?LAYOUT=PRESENTAZIONE&amp;TIPODOC=LEGGI&amp;LEGGE=4&amp;LEGGEANNO=2016" TargetMode="External"/><Relationship Id="rId15" Type="http://schemas.openxmlformats.org/officeDocument/2006/relationships/hyperlink" Target="http://arianna.consiglioregionale.piemonte.it/ariaint/TESTO?LAYOUT=PRESENTAZIONE&amp;TIPODOC=LEGGI&amp;LEGGE=4&amp;LEGGEANNO=2016" TargetMode="External"/><Relationship Id="rId23" Type="http://schemas.openxmlformats.org/officeDocument/2006/relationships/hyperlink" Target="http://arianna.consiglioregionale.piemonte.it/ariaint/TESTO?LAYOUT=PRESENTAZIONE&amp;TIPODOC=LEGGI&amp;LEGGE=4&amp;LEGGEANNO=2016" TargetMode="External"/><Relationship Id="rId28" Type="http://schemas.openxmlformats.org/officeDocument/2006/relationships/hyperlink" Target="http://arianna.consiglioregionale.piemonte.it/ariaint/TESTO?LAYOUT=PRESENTAZIONE&amp;TIPODOC=LEGGI&amp;LEGGE=4&amp;LEGGEANNO=2016" TargetMode="External"/><Relationship Id="rId36" Type="http://schemas.openxmlformats.org/officeDocument/2006/relationships/hyperlink" Target="http://arianna.consiglioregionale.piemonte.it/ariaint/TESTO?LAYOUT=PRESENTAZIONE&amp;TIPODOC=LEGGI&amp;LEGGEANNO=2006&amp;LEGGE=007" TargetMode="External"/><Relationship Id="rId49" Type="http://schemas.openxmlformats.org/officeDocument/2006/relationships/hyperlink" Target="http://www.normattiva.it/uri-res/N2Ls?urn:nir:stato:decreto.legislativo:2013-01-16;13" TargetMode="External"/><Relationship Id="rId57" Type="http://schemas.openxmlformats.org/officeDocument/2006/relationships/hyperlink" Target="http://arianna.consiglioregionale.piemonte.it/ariaint/TESTO?LAYOUT=PRESENTAZIONE&amp;TIPODOC=LEGGI&amp;LEGGE=4&amp;LEGGEANNO=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9958</Words>
  <Characters>56761</Characters>
  <Application>Microsoft Office Word</Application>
  <DocSecurity>4</DocSecurity>
  <Lines>473</Lines>
  <Paragraphs>133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Witzel</dc:creator>
  <cp:keywords/>
  <dc:description/>
  <cp:lastModifiedBy>Utente02</cp:lastModifiedBy>
  <cp:revision>2</cp:revision>
  <dcterms:created xsi:type="dcterms:W3CDTF">2017-11-27T09:09:00Z</dcterms:created>
  <dcterms:modified xsi:type="dcterms:W3CDTF">2017-11-27T09:09:00Z</dcterms:modified>
</cp:coreProperties>
</file>